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D2A" w:rsidRDefault="00D47FB9" w:rsidP="000C1EB5">
      <w:pPr>
        <w:ind w:left="10800" w:firstLine="720"/>
        <w:rPr>
          <w:rFonts w:ascii="Arial" w:hAnsi="Arial" w:cs="Arial"/>
          <w:b/>
          <w:sz w:val="28"/>
          <w:szCs w:val="28"/>
        </w:rPr>
      </w:pPr>
      <w:r w:rsidRPr="000C1EB5">
        <w:rPr>
          <w:rFonts w:ascii="Arial" w:hAnsi="Arial" w:cs="Arial"/>
          <w:b/>
          <w:sz w:val="28"/>
          <w:szCs w:val="28"/>
        </w:rPr>
        <w:t xml:space="preserve">Appendix </w:t>
      </w:r>
      <w:r w:rsidR="000C1EB5">
        <w:rPr>
          <w:rFonts w:ascii="Arial" w:hAnsi="Arial" w:cs="Arial"/>
          <w:b/>
          <w:sz w:val="28"/>
          <w:szCs w:val="28"/>
        </w:rPr>
        <w:t>'</w:t>
      </w:r>
      <w:r w:rsidRPr="000C1EB5">
        <w:rPr>
          <w:rFonts w:ascii="Arial" w:hAnsi="Arial" w:cs="Arial"/>
          <w:b/>
          <w:sz w:val="28"/>
          <w:szCs w:val="28"/>
        </w:rPr>
        <w:t>B</w:t>
      </w:r>
      <w:r w:rsidR="000C1EB5">
        <w:rPr>
          <w:rFonts w:ascii="Arial" w:hAnsi="Arial" w:cs="Arial"/>
          <w:b/>
          <w:sz w:val="28"/>
          <w:szCs w:val="28"/>
        </w:rPr>
        <w:t>'</w:t>
      </w:r>
    </w:p>
    <w:p w:rsidR="00D5184F" w:rsidRDefault="00D5184F" w:rsidP="00D5184F">
      <w:pPr>
        <w:jc w:val="both"/>
        <w:rPr>
          <w:rFonts w:ascii="Arial" w:hAnsi="Arial" w:cs="Arial"/>
          <w:b/>
          <w:sz w:val="24"/>
          <w:szCs w:val="24"/>
        </w:rPr>
      </w:pPr>
    </w:p>
    <w:p w:rsidR="00D5184F" w:rsidRPr="004B03C9" w:rsidRDefault="00D5184F" w:rsidP="00D5184F">
      <w:pPr>
        <w:jc w:val="both"/>
        <w:rPr>
          <w:rFonts w:ascii="Arial" w:hAnsi="Arial" w:cs="Arial"/>
          <w:b/>
          <w:sz w:val="24"/>
          <w:szCs w:val="24"/>
        </w:rPr>
      </w:pPr>
      <w:r w:rsidRPr="004B03C9">
        <w:rPr>
          <w:rFonts w:ascii="Arial" w:hAnsi="Arial" w:cs="Arial"/>
          <w:b/>
          <w:sz w:val="24"/>
          <w:szCs w:val="24"/>
        </w:rPr>
        <w:t>Risk management summary</w:t>
      </w:r>
    </w:p>
    <w:p w:rsidR="00D5184F" w:rsidRPr="004B03C9" w:rsidRDefault="00D5184F" w:rsidP="00D5184F">
      <w:pPr>
        <w:jc w:val="both"/>
        <w:rPr>
          <w:rFonts w:ascii="Arial" w:hAnsi="Arial" w:cs="Arial"/>
          <w:sz w:val="24"/>
          <w:szCs w:val="24"/>
        </w:rPr>
      </w:pPr>
      <w:r w:rsidRPr="004B03C9">
        <w:rPr>
          <w:rFonts w:ascii="Arial" w:hAnsi="Arial" w:cs="Arial"/>
          <w:sz w:val="24"/>
          <w:szCs w:val="24"/>
        </w:rPr>
        <w:t xml:space="preserve">"A risk log has been established (see Appendix B 'Risk Assessment Log', is being maintained and which has informed the current scheme estimate. Each risk has been evaluated, is being monitored and mitigation measures are being put in place as appropriate.  </w:t>
      </w:r>
    </w:p>
    <w:p w:rsidR="00D5184F" w:rsidRPr="004B03C9" w:rsidRDefault="00D5184F" w:rsidP="00D5184F">
      <w:pPr>
        <w:jc w:val="both"/>
        <w:rPr>
          <w:rFonts w:ascii="Arial" w:hAnsi="Arial" w:cs="Arial"/>
          <w:sz w:val="24"/>
          <w:szCs w:val="24"/>
        </w:rPr>
      </w:pPr>
      <w:r w:rsidRPr="004B03C9">
        <w:rPr>
          <w:rFonts w:ascii="Arial" w:hAnsi="Arial" w:cs="Arial"/>
          <w:sz w:val="24"/>
          <w:szCs w:val="24"/>
        </w:rPr>
        <w:t xml:space="preserve"> The risk monitoring and mitigating will remain with the project for its whole duration. The following are a number of key risks."</w:t>
      </w:r>
    </w:p>
    <w:p w:rsidR="00D5184F" w:rsidRPr="004B03C9" w:rsidRDefault="00D5184F" w:rsidP="00D5184F">
      <w:pPr>
        <w:jc w:val="both"/>
        <w:rPr>
          <w:rFonts w:ascii="Arial" w:hAnsi="Arial" w:cs="Arial"/>
          <w:sz w:val="24"/>
          <w:szCs w:val="24"/>
        </w:rPr>
      </w:pPr>
    </w:p>
    <w:p w:rsidR="00D5184F" w:rsidRPr="004B03C9" w:rsidRDefault="00D5184F" w:rsidP="00D5184F">
      <w:pPr>
        <w:jc w:val="both"/>
        <w:rPr>
          <w:rFonts w:ascii="Arial" w:hAnsi="Arial" w:cs="Arial"/>
          <w:sz w:val="24"/>
          <w:szCs w:val="24"/>
        </w:rPr>
      </w:pPr>
      <w:r w:rsidRPr="004B03C9">
        <w:rPr>
          <w:rFonts w:ascii="Arial" w:hAnsi="Arial" w:cs="Arial"/>
          <w:sz w:val="24"/>
          <w:szCs w:val="24"/>
        </w:rPr>
        <w:t>There would be project risk if the business cases for funds (as highlighted) are not successful. If this is the case, the project will not proceed as planned until other funding sources are secured.</w:t>
      </w:r>
    </w:p>
    <w:p w:rsidR="00D5184F" w:rsidRPr="004B03C9" w:rsidRDefault="00D5184F" w:rsidP="00D5184F">
      <w:pPr>
        <w:jc w:val="both"/>
        <w:rPr>
          <w:rFonts w:ascii="Arial" w:hAnsi="Arial" w:cs="Arial"/>
          <w:sz w:val="24"/>
          <w:szCs w:val="24"/>
        </w:rPr>
      </w:pPr>
      <w:r w:rsidRPr="004B03C9">
        <w:rPr>
          <w:rFonts w:ascii="Arial" w:hAnsi="Arial" w:cs="Arial"/>
          <w:sz w:val="24"/>
          <w:szCs w:val="24"/>
        </w:rPr>
        <w:t xml:space="preserve">Risk of clawback of the LEP contribution as a result of delay in housing delivery. If this risk is not managed by others, there is a risk that the county council as scheme promoter will be required to return the LEP contribution and make an additional financial contribution accordingly. </w:t>
      </w:r>
    </w:p>
    <w:p w:rsidR="00D5184F" w:rsidRPr="004B03C9" w:rsidRDefault="00D5184F" w:rsidP="00D5184F">
      <w:pPr>
        <w:jc w:val="both"/>
        <w:rPr>
          <w:rFonts w:ascii="Arial" w:hAnsi="Arial" w:cs="Arial"/>
          <w:sz w:val="24"/>
          <w:szCs w:val="24"/>
        </w:rPr>
      </w:pPr>
      <w:r w:rsidRPr="004B03C9">
        <w:rPr>
          <w:rFonts w:ascii="Arial" w:hAnsi="Arial" w:cs="Arial"/>
          <w:sz w:val="24"/>
          <w:szCs w:val="24"/>
        </w:rPr>
        <w:t>The land to deliver the road is to be provided by Kensington Developments Limited who is also financial contributor to deliver the scheme. This is a low risk as the delivery of the road is a requirement for Kensington Developments Limited with regard to their Queensway residential site.</w:t>
      </w:r>
    </w:p>
    <w:p w:rsidR="00D5184F" w:rsidRPr="004B03C9" w:rsidRDefault="00D5184F" w:rsidP="00D5184F">
      <w:pPr>
        <w:jc w:val="both"/>
        <w:rPr>
          <w:rFonts w:ascii="Arial" w:hAnsi="Arial" w:cs="Arial"/>
          <w:sz w:val="24"/>
          <w:szCs w:val="24"/>
        </w:rPr>
      </w:pPr>
      <w:r w:rsidRPr="004B03C9">
        <w:rPr>
          <w:rFonts w:ascii="Arial" w:hAnsi="Arial" w:cs="Arial"/>
          <w:sz w:val="24"/>
          <w:szCs w:val="24"/>
        </w:rPr>
        <w:t>Other risk elements relate to Environment Agency consents. Consent applications have been submitted by the developer's appointed consultants following direct discussions between representatives of Kensington Developments Limited and the Environment Agency.</w:t>
      </w:r>
    </w:p>
    <w:p w:rsidR="00D5184F" w:rsidRPr="004B03C9" w:rsidRDefault="00D5184F" w:rsidP="00D5184F">
      <w:pPr>
        <w:jc w:val="both"/>
        <w:rPr>
          <w:rFonts w:ascii="Arial" w:hAnsi="Arial" w:cs="Arial"/>
          <w:sz w:val="24"/>
          <w:szCs w:val="24"/>
        </w:rPr>
      </w:pPr>
      <w:r w:rsidRPr="004B03C9">
        <w:rPr>
          <w:rFonts w:ascii="Arial" w:hAnsi="Arial" w:cs="Arial"/>
          <w:sz w:val="24"/>
          <w:szCs w:val="24"/>
        </w:rPr>
        <w:t>Agreement and commencement of diversions and protection works to all utilities within or above the existing highway or on the route of the new link road could influence the start of the project incurring delays with consequences on project costs. The statutory process on utility requirements has been commenced by both the county council and Kensington Developments Limited.</w:t>
      </w:r>
    </w:p>
    <w:p w:rsidR="00D5184F" w:rsidRPr="004B03C9" w:rsidRDefault="00D5184F" w:rsidP="00D5184F">
      <w:pPr>
        <w:jc w:val="both"/>
        <w:rPr>
          <w:rFonts w:ascii="Arial" w:hAnsi="Arial" w:cs="Arial"/>
          <w:sz w:val="24"/>
          <w:szCs w:val="24"/>
        </w:rPr>
      </w:pPr>
      <w:r w:rsidRPr="004B03C9">
        <w:rPr>
          <w:rFonts w:ascii="Arial" w:hAnsi="Arial" w:cs="Arial"/>
          <w:sz w:val="24"/>
          <w:szCs w:val="24"/>
        </w:rPr>
        <w:t>Agreement with Highways England on the signing requirements on the motorway gantries. There is a risk that motorway gantries require replacing to accommodate the new signing requirements.  Options are being explored with Highways England to mitigate this risk.</w:t>
      </w:r>
    </w:p>
    <w:p w:rsidR="00D5184F" w:rsidRPr="00D5184F" w:rsidRDefault="00D5184F" w:rsidP="00D5184F">
      <w:pPr>
        <w:jc w:val="both"/>
        <w:rPr>
          <w:rFonts w:ascii="Arial" w:hAnsi="Arial" w:cs="Arial"/>
          <w:b/>
          <w:sz w:val="24"/>
          <w:szCs w:val="24"/>
        </w:rPr>
      </w:pPr>
      <w:r w:rsidRPr="00D5184F">
        <w:rPr>
          <w:rFonts w:ascii="Arial" w:hAnsi="Arial" w:cs="Arial"/>
          <w:b/>
          <w:sz w:val="24"/>
          <w:szCs w:val="24"/>
        </w:rPr>
        <w:t xml:space="preserve"> From a construction perspective:</w:t>
      </w:r>
    </w:p>
    <w:p w:rsidR="00D5184F" w:rsidRPr="004B03C9" w:rsidRDefault="00D5184F" w:rsidP="00D5184F">
      <w:pPr>
        <w:jc w:val="both"/>
        <w:rPr>
          <w:rFonts w:ascii="Arial" w:hAnsi="Arial" w:cs="Arial"/>
          <w:sz w:val="24"/>
          <w:szCs w:val="24"/>
        </w:rPr>
      </w:pPr>
      <w:r w:rsidRPr="004B03C9">
        <w:rPr>
          <w:rFonts w:ascii="Arial" w:hAnsi="Arial" w:cs="Arial"/>
          <w:sz w:val="24"/>
          <w:szCs w:val="24"/>
        </w:rPr>
        <w:t>Poor ground conditions (as the road is built on moss) requires ground surcharge and ground excavation. This could impact on the project programme or additional materials/plant being required. This risk has been quantified in the cost estimate, the value of which will be kept under review.</w:t>
      </w:r>
    </w:p>
    <w:p w:rsidR="00D5184F" w:rsidRPr="004B03C9" w:rsidRDefault="00D5184F" w:rsidP="00D5184F">
      <w:pPr>
        <w:jc w:val="both"/>
        <w:rPr>
          <w:rFonts w:ascii="Arial" w:hAnsi="Arial" w:cs="Arial"/>
          <w:sz w:val="24"/>
          <w:szCs w:val="24"/>
        </w:rPr>
      </w:pPr>
      <w:r w:rsidRPr="004B03C9">
        <w:rPr>
          <w:rFonts w:ascii="Arial" w:hAnsi="Arial" w:cs="Arial"/>
          <w:sz w:val="24"/>
          <w:szCs w:val="24"/>
        </w:rPr>
        <w:t>The influence of adverse weather could impact on the construction duration, extending ground water pumping or additional diversions of existing water courses required. Both have secondary consequences on cost whether additional materials are required for road construction or temporary purposes or requirements for additional plant and equipment.  This risk has been quantified in the cost estimate, the value of which will be kept under review.</w:t>
      </w:r>
    </w:p>
    <w:p w:rsidR="00D5184F" w:rsidRPr="004B03C9" w:rsidRDefault="00D5184F" w:rsidP="00D5184F">
      <w:pPr>
        <w:jc w:val="both"/>
        <w:rPr>
          <w:rFonts w:ascii="Arial" w:hAnsi="Arial" w:cs="Arial"/>
          <w:sz w:val="24"/>
          <w:szCs w:val="24"/>
        </w:rPr>
      </w:pPr>
      <w:r w:rsidRPr="004B03C9">
        <w:rPr>
          <w:rFonts w:ascii="Arial" w:hAnsi="Arial" w:cs="Arial"/>
          <w:sz w:val="24"/>
          <w:szCs w:val="24"/>
        </w:rPr>
        <w:t>There are land related 'pinch points' where Kensington Developments Limited do not control land much beyond that required for the link road which affects the space required for the construction process. This could result in addition materials and plant being required to ensure that the neighbouring land is not impacted on. Consideration has been given to the construction process as</w:t>
      </w:r>
      <w:r>
        <w:rPr>
          <w:rFonts w:ascii="Arial" w:hAnsi="Arial" w:cs="Arial"/>
          <w:sz w:val="24"/>
          <w:szCs w:val="24"/>
        </w:rPr>
        <w:t xml:space="preserve"> part of the scheme design and </w:t>
      </w:r>
      <w:r w:rsidRPr="004B03C9">
        <w:rPr>
          <w:rFonts w:ascii="Arial" w:hAnsi="Arial" w:cs="Arial"/>
          <w:sz w:val="24"/>
          <w:szCs w:val="24"/>
        </w:rPr>
        <w:t>this risk has been quantified in the cost estimate, the value of which will be kept under review. Discussions are progressing with affected utility companies in these areas to further mitigate this risk.</w:t>
      </w:r>
    </w:p>
    <w:p w:rsidR="00D5184F" w:rsidRDefault="00D5184F" w:rsidP="00D5184F">
      <w:pPr>
        <w:rPr>
          <w:rFonts w:ascii="Arial" w:hAnsi="Arial" w:cs="Arial"/>
          <w:b/>
          <w:sz w:val="28"/>
          <w:szCs w:val="28"/>
        </w:rPr>
      </w:pPr>
    </w:p>
    <w:p w:rsidR="00D5184F" w:rsidRDefault="00D5184F" w:rsidP="00D5184F">
      <w:pPr>
        <w:rPr>
          <w:rFonts w:ascii="Arial" w:hAnsi="Arial" w:cs="Arial"/>
          <w:b/>
          <w:sz w:val="28"/>
          <w:szCs w:val="28"/>
        </w:rPr>
      </w:pPr>
    </w:p>
    <w:p w:rsidR="00D5184F" w:rsidRDefault="00D5184F" w:rsidP="00D5184F">
      <w:pPr>
        <w:rPr>
          <w:rFonts w:ascii="Arial" w:hAnsi="Arial" w:cs="Arial"/>
          <w:b/>
          <w:sz w:val="28"/>
          <w:szCs w:val="28"/>
        </w:rPr>
      </w:pPr>
    </w:p>
    <w:p w:rsidR="00D5184F" w:rsidRDefault="00D5184F" w:rsidP="00D5184F">
      <w:pPr>
        <w:rPr>
          <w:rFonts w:ascii="Arial" w:hAnsi="Arial" w:cs="Arial"/>
          <w:b/>
          <w:sz w:val="28"/>
          <w:szCs w:val="28"/>
        </w:rPr>
      </w:pPr>
    </w:p>
    <w:p w:rsidR="00D5184F" w:rsidRDefault="00D5184F" w:rsidP="00D5184F">
      <w:pPr>
        <w:rPr>
          <w:rFonts w:ascii="Arial" w:hAnsi="Arial" w:cs="Arial"/>
          <w:b/>
          <w:sz w:val="28"/>
          <w:szCs w:val="28"/>
        </w:rPr>
      </w:pPr>
    </w:p>
    <w:p w:rsidR="00D5184F" w:rsidRDefault="00D5184F" w:rsidP="00D5184F">
      <w:pPr>
        <w:rPr>
          <w:rFonts w:ascii="Arial" w:hAnsi="Arial" w:cs="Arial"/>
          <w:b/>
          <w:sz w:val="28"/>
          <w:szCs w:val="28"/>
        </w:rPr>
      </w:pPr>
    </w:p>
    <w:p w:rsidR="00D5184F" w:rsidRDefault="00D5184F" w:rsidP="00D5184F">
      <w:pPr>
        <w:rPr>
          <w:rFonts w:ascii="Arial" w:hAnsi="Arial" w:cs="Arial"/>
          <w:b/>
          <w:sz w:val="28"/>
          <w:szCs w:val="28"/>
        </w:rPr>
      </w:pPr>
    </w:p>
    <w:p w:rsidR="00D5184F" w:rsidRDefault="00D5184F" w:rsidP="00D5184F">
      <w:pPr>
        <w:rPr>
          <w:rFonts w:ascii="Arial" w:hAnsi="Arial" w:cs="Arial"/>
          <w:b/>
          <w:sz w:val="28"/>
          <w:szCs w:val="28"/>
        </w:rPr>
      </w:pPr>
    </w:p>
    <w:p w:rsidR="00D5184F" w:rsidRDefault="00D5184F" w:rsidP="00D5184F">
      <w:pPr>
        <w:rPr>
          <w:rFonts w:ascii="Arial" w:hAnsi="Arial" w:cs="Arial"/>
          <w:b/>
          <w:sz w:val="28"/>
          <w:szCs w:val="28"/>
        </w:rPr>
      </w:pPr>
    </w:p>
    <w:p w:rsidR="00D5184F" w:rsidRPr="000C1EB5" w:rsidRDefault="00D5184F" w:rsidP="00D5184F">
      <w:pPr>
        <w:jc w:val="right"/>
        <w:rPr>
          <w:rFonts w:ascii="Arial" w:hAnsi="Arial" w:cs="Arial"/>
          <w:b/>
          <w:sz w:val="28"/>
          <w:szCs w:val="28"/>
        </w:rPr>
      </w:pPr>
      <w:r>
        <w:rPr>
          <w:rFonts w:ascii="Arial" w:hAnsi="Arial" w:cs="Arial"/>
          <w:b/>
          <w:sz w:val="28"/>
          <w:szCs w:val="28"/>
        </w:rPr>
        <w:t>Appendix 'B' Risk Assessment Log</w:t>
      </w:r>
    </w:p>
    <w:p w:rsidR="000C1EB5" w:rsidRDefault="000C1EB5"/>
    <w:tbl>
      <w:tblPr>
        <w:tblW w:w="13995" w:type="dxa"/>
        <w:tblLayout w:type="fixed"/>
        <w:tblLook w:val="04A0" w:firstRow="1" w:lastRow="0" w:firstColumn="1" w:lastColumn="0" w:noHBand="0" w:noVBand="1"/>
      </w:tblPr>
      <w:tblGrid>
        <w:gridCol w:w="812"/>
        <w:gridCol w:w="464"/>
        <w:gridCol w:w="284"/>
        <w:gridCol w:w="992"/>
        <w:gridCol w:w="1134"/>
        <w:gridCol w:w="992"/>
        <w:gridCol w:w="992"/>
        <w:gridCol w:w="1134"/>
        <w:gridCol w:w="1843"/>
        <w:gridCol w:w="2693"/>
        <w:gridCol w:w="851"/>
        <w:gridCol w:w="992"/>
        <w:gridCol w:w="812"/>
      </w:tblGrid>
      <w:tr w:rsidR="00B75D2A" w:rsidRPr="00B75D2A" w:rsidTr="00781D9A">
        <w:trPr>
          <w:trHeight w:val="585"/>
        </w:trPr>
        <w:tc>
          <w:tcPr>
            <w:tcW w:w="1276" w:type="dxa"/>
            <w:gridSpan w:val="2"/>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84"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11623" w:type="dxa"/>
            <w:gridSpan w:val="9"/>
            <w:tcBorders>
              <w:top w:val="single" w:sz="8" w:space="0" w:color="auto"/>
              <w:left w:val="single" w:sz="8" w:space="0" w:color="auto"/>
              <w:bottom w:val="single" w:sz="8" w:space="0" w:color="auto"/>
              <w:right w:val="nil"/>
            </w:tcBorders>
            <w:shd w:val="clear" w:color="000000" w:fill="F2F2F2"/>
            <w:noWrap/>
            <w:vAlign w:val="center"/>
            <w:hideMark/>
          </w:tcPr>
          <w:p w:rsidR="00B75D2A" w:rsidRPr="00B75D2A" w:rsidRDefault="00B75D2A" w:rsidP="00B75D2A">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xml:space="preserve">M55 Heyhouses Link Road, Draft Risk Assessment Guideline (RAG)    (25 July 2017) </w:t>
            </w:r>
          </w:p>
        </w:tc>
        <w:tc>
          <w:tcPr>
            <w:tcW w:w="812" w:type="dxa"/>
            <w:tcBorders>
              <w:top w:val="nil"/>
              <w:left w:val="nil"/>
              <w:bottom w:val="nil"/>
              <w:right w:val="nil"/>
            </w:tcBorders>
            <w:shd w:val="clear" w:color="auto" w:fill="auto"/>
            <w:noWrap/>
            <w:vAlign w:val="bottom"/>
            <w:hideMark/>
          </w:tcPr>
          <w:p w:rsidR="00B75D2A" w:rsidRPr="00B75D2A" w:rsidRDefault="00B75D2A" w:rsidP="00B75D2A">
            <w:pPr>
              <w:spacing w:after="0" w:line="240" w:lineRule="auto"/>
              <w:rPr>
                <w:rFonts w:ascii="Times New Roman" w:eastAsia="Times New Roman" w:hAnsi="Times New Roman" w:cs="Times New Roman"/>
                <w:sz w:val="20"/>
                <w:szCs w:val="20"/>
                <w:lang w:eastAsia="en-GB"/>
              </w:rPr>
            </w:pPr>
          </w:p>
        </w:tc>
      </w:tr>
      <w:tr w:rsidR="00781D9A" w:rsidRPr="00B75D2A" w:rsidTr="00781D9A">
        <w:trPr>
          <w:trHeight w:val="270"/>
        </w:trPr>
        <w:tc>
          <w:tcPr>
            <w:tcW w:w="1276" w:type="dxa"/>
            <w:gridSpan w:val="2"/>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84"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b/>
                <w:bCs/>
                <w:color w:val="000000"/>
                <w:sz w:val="20"/>
                <w:szCs w:val="20"/>
                <w:lang w:eastAsia="en-GB"/>
              </w:rPr>
            </w:pPr>
            <w:r w:rsidRPr="00B75D2A">
              <w:rPr>
                <w:rFonts w:ascii="Arial" w:eastAsia="Times New Roman" w:hAnsi="Arial" w:cs="Arial"/>
                <w:b/>
                <w:bCs/>
                <w:color w:val="000000"/>
                <w:sz w:val="20"/>
                <w:szCs w:val="20"/>
                <w:lang w:eastAsia="en-GB"/>
              </w:rPr>
              <w:t> </w:t>
            </w:r>
          </w:p>
        </w:tc>
        <w:tc>
          <w:tcPr>
            <w:tcW w:w="1134"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1134"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1843"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auto" w:fill="auto"/>
            <w:noWrap/>
            <w:hideMark/>
          </w:tcPr>
          <w:p w:rsidR="00B75D2A" w:rsidRPr="00B75D2A" w:rsidRDefault="00B75D2A" w:rsidP="00B75D2A">
            <w:pPr>
              <w:spacing w:after="0" w:line="240" w:lineRule="auto"/>
              <w:rPr>
                <w:rFonts w:ascii="Arial" w:eastAsia="Times New Roman" w:hAnsi="Arial" w:cs="Arial"/>
                <w:color w:val="000000"/>
                <w:sz w:val="20"/>
                <w:szCs w:val="20"/>
                <w:lang w:eastAsia="en-GB"/>
              </w:rPr>
            </w:pPr>
          </w:p>
        </w:tc>
        <w:tc>
          <w:tcPr>
            <w:tcW w:w="851"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b/>
                <w:bCs/>
                <w:color w:val="000000"/>
                <w:sz w:val="20"/>
                <w:szCs w:val="20"/>
                <w:lang w:eastAsia="en-GB"/>
              </w:rPr>
            </w:pPr>
            <w:r w:rsidRPr="00B75D2A">
              <w:rPr>
                <w:rFonts w:ascii="Arial" w:eastAsia="Times New Roman" w:hAnsi="Arial" w:cs="Arial"/>
                <w:b/>
                <w:bCs/>
                <w:color w:val="000000"/>
                <w:sz w:val="20"/>
                <w:szCs w:val="20"/>
                <w:lang w:eastAsia="en-GB"/>
              </w:rPr>
              <w:t>KEY:</w:t>
            </w:r>
          </w:p>
        </w:tc>
        <w:tc>
          <w:tcPr>
            <w:tcW w:w="99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781D9A" w:rsidRPr="00B75D2A" w:rsidTr="00781D9A">
        <w:trPr>
          <w:trHeight w:val="402"/>
        </w:trPr>
        <w:tc>
          <w:tcPr>
            <w:tcW w:w="1560" w:type="dxa"/>
            <w:gridSpan w:val="3"/>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Likelihood</w:t>
            </w:r>
          </w:p>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992" w:type="dxa"/>
            <w:tcBorders>
              <w:top w:val="single" w:sz="8" w:space="0" w:color="auto"/>
              <w:left w:val="nil"/>
              <w:bottom w:val="single" w:sz="8" w:space="0" w:color="auto"/>
              <w:right w:val="nil"/>
            </w:tcBorders>
            <w:shd w:val="clear" w:color="000000" w:fill="808080"/>
            <w:noWrap/>
            <w:vAlign w:val="center"/>
            <w:hideMark/>
          </w:tcPr>
          <w:p w:rsidR="00B75D2A" w:rsidRPr="00B75D2A" w:rsidRDefault="00B75D2A" w:rsidP="00B75D2A">
            <w:pPr>
              <w:spacing w:after="0" w:line="240" w:lineRule="auto"/>
              <w:jc w:val="center"/>
              <w:rPr>
                <w:rFonts w:ascii="Arial" w:eastAsia="Times New Roman" w:hAnsi="Arial" w:cs="Arial"/>
                <w:b/>
                <w:bCs/>
                <w:color w:val="FFFFFF"/>
                <w:sz w:val="20"/>
                <w:szCs w:val="20"/>
                <w:lang w:eastAsia="en-GB"/>
              </w:rPr>
            </w:pPr>
            <w:r w:rsidRPr="00B75D2A">
              <w:rPr>
                <w:rFonts w:ascii="Arial" w:eastAsia="Times New Roman" w:hAnsi="Arial" w:cs="Arial"/>
                <w:b/>
                <w:bCs/>
                <w:color w:val="FFFFFF"/>
                <w:sz w:val="20"/>
                <w:szCs w:val="20"/>
                <w:lang w:eastAsia="en-GB"/>
              </w:rPr>
              <w:t>Risk Score</w:t>
            </w:r>
          </w:p>
        </w:tc>
        <w:tc>
          <w:tcPr>
            <w:tcW w:w="1134" w:type="dxa"/>
            <w:tcBorders>
              <w:top w:val="single" w:sz="8" w:space="0" w:color="auto"/>
              <w:left w:val="nil"/>
              <w:bottom w:val="single" w:sz="8" w:space="0" w:color="auto"/>
              <w:right w:val="nil"/>
            </w:tcBorders>
            <w:shd w:val="clear" w:color="000000" w:fill="808080"/>
            <w:noWrap/>
            <w:vAlign w:val="center"/>
            <w:hideMark/>
          </w:tcPr>
          <w:p w:rsidR="00B75D2A" w:rsidRPr="00B75D2A" w:rsidRDefault="00B75D2A" w:rsidP="00B75D2A">
            <w:pPr>
              <w:spacing w:after="0" w:line="240" w:lineRule="auto"/>
              <w:jc w:val="center"/>
              <w:rPr>
                <w:rFonts w:ascii="Arial" w:eastAsia="Times New Roman" w:hAnsi="Arial" w:cs="Arial"/>
                <w:b/>
                <w:bCs/>
                <w:color w:val="FFFFFF"/>
                <w:sz w:val="20"/>
                <w:szCs w:val="20"/>
                <w:lang w:eastAsia="en-GB"/>
              </w:rPr>
            </w:pPr>
            <w:r w:rsidRPr="00B75D2A">
              <w:rPr>
                <w:rFonts w:ascii="Arial" w:eastAsia="Times New Roman" w:hAnsi="Arial" w:cs="Arial"/>
                <w:b/>
                <w:bCs/>
                <w:color w:val="FFFFFF"/>
                <w:sz w:val="20"/>
                <w:szCs w:val="20"/>
                <w:lang w:eastAsia="en-GB"/>
              </w:rPr>
              <w:t> </w:t>
            </w:r>
          </w:p>
        </w:tc>
        <w:tc>
          <w:tcPr>
            <w:tcW w:w="992" w:type="dxa"/>
            <w:tcBorders>
              <w:top w:val="single" w:sz="8" w:space="0" w:color="auto"/>
              <w:left w:val="nil"/>
              <w:bottom w:val="single" w:sz="8" w:space="0" w:color="auto"/>
              <w:right w:val="nil"/>
            </w:tcBorders>
            <w:shd w:val="clear" w:color="000000" w:fill="808080"/>
            <w:noWrap/>
            <w:vAlign w:val="center"/>
            <w:hideMark/>
          </w:tcPr>
          <w:p w:rsidR="00B75D2A" w:rsidRPr="00B75D2A" w:rsidRDefault="00B75D2A" w:rsidP="00B75D2A">
            <w:pPr>
              <w:spacing w:after="0" w:line="240" w:lineRule="auto"/>
              <w:jc w:val="center"/>
              <w:rPr>
                <w:rFonts w:ascii="Arial" w:eastAsia="Times New Roman" w:hAnsi="Arial" w:cs="Arial"/>
                <w:b/>
                <w:bCs/>
                <w:color w:val="FFFFFF"/>
                <w:sz w:val="20"/>
                <w:szCs w:val="20"/>
                <w:lang w:eastAsia="en-GB"/>
              </w:rPr>
            </w:pPr>
            <w:r w:rsidRPr="00B75D2A">
              <w:rPr>
                <w:rFonts w:ascii="Arial" w:eastAsia="Times New Roman" w:hAnsi="Arial" w:cs="Arial"/>
                <w:b/>
                <w:bCs/>
                <w:color w:val="FFFFFF"/>
                <w:sz w:val="20"/>
                <w:szCs w:val="20"/>
                <w:lang w:eastAsia="en-GB"/>
              </w:rPr>
              <w:t> </w:t>
            </w:r>
          </w:p>
        </w:tc>
        <w:tc>
          <w:tcPr>
            <w:tcW w:w="992" w:type="dxa"/>
            <w:tcBorders>
              <w:top w:val="single" w:sz="8" w:space="0" w:color="auto"/>
              <w:left w:val="nil"/>
              <w:bottom w:val="single" w:sz="8" w:space="0" w:color="auto"/>
              <w:right w:val="nil"/>
            </w:tcBorders>
            <w:shd w:val="clear" w:color="000000" w:fill="808080"/>
            <w:noWrap/>
            <w:vAlign w:val="center"/>
            <w:hideMark/>
          </w:tcPr>
          <w:p w:rsidR="00B75D2A" w:rsidRPr="00B75D2A" w:rsidRDefault="00B75D2A" w:rsidP="00B75D2A">
            <w:pPr>
              <w:spacing w:after="0" w:line="240" w:lineRule="auto"/>
              <w:jc w:val="center"/>
              <w:rPr>
                <w:rFonts w:ascii="Arial" w:eastAsia="Times New Roman" w:hAnsi="Arial" w:cs="Arial"/>
                <w:b/>
                <w:bCs/>
                <w:color w:val="FFFFFF"/>
                <w:sz w:val="20"/>
                <w:szCs w:val="20"/>
                <w:lang w:eastAsia="en-GB"/>
              </w:rPr>
            </w:pPr>
            <w:r w:rsidRPr="00B75D2A">
              <w:rPr>
                <w:rFonts w:ascii="Arial" w:eastAsia="Times New Roman" w:hAnsi="Arial" w:cs="Arial"/>
                <w:b/>
                <w:bCs/>
                <w:color w:val="FFFFFF"/>
                <w:sz w:val="20"/>
                <w:szCs w:val="20"/>
                <w:lang w:eastAsia="en-GB"/>
              </w:rPr>
              <w:t> </w:t>
            </w:r>
          </w:p>
        </w:tc>
        <w:tc>
          <w:tcPr>
            <w:tcW w:w="1134" w:type="dxa"/>
            <w:tcBorders>
              <w:top w:val="single" w:sz="8" w:space="0" w:color="auto"/>
              <w:left w:val="nil"/>
              <w:bottom w:val="single" w:sz="8" w:space="0" w:color="auto"/>
              <w:right w:val="single" w:sz="8" w:space="0" w:color="auto"/>
            </w:tcBorders>
            <w:shd w:val="clear" w:color="000000" w:fill="808080"/>
            <w:noWrap/>
            <w:vAlign w:val="center"/>
            <w:hideMark/>
          </w:tcPr>
          <w:p w:rsidR="00B75D2A" w:rsidRPr="00B75D2A" w:rsidRDefault="00B75D2A" w:rsidP="00B75D2A">
            <w:pPr>
              <w:spacing w:after="0" w:line="240" w:lineRule="auto"/>
              <w:jc w:val="center"/>
              <w:rPr>
                <w:rFonts w:ascii="Arial" w:eastAsia="Times New Roman" w:hAnsi="Arial" w:cs="Arial"/>
                <w:b/>
                <w:bCs/>
                <w:color w:val="FFFFFF"/>
                <w:sz w:val="20"/>
                <w:szCs w:val="20"/>
                <w:lang w:eastAsia="en-GB"/>
              </w:rPr>
            </w:pPr>
            <w:r w:rsidRPr="00B75D2A">
              <w:rPr>
                <w:rFonts w:ascii="Arial" w:eastAsia="Times New Roman" w:hAnsi="Arial" w:cs="Arial"/>
                <w:b/>
                <w:bCs/>
                <w:color w:val="FFFFFF"/>
                <w:sz w:val="20"/>
                <w:szCs w:val="20"/>
                <w:lang w:eastAsia="en-GB"/>
              </w:rPr>
              <w:t> </w:t>
            </w:r>
          </w:p>
        </w:tc>
        <w:tc>
          <w:tcPr>
            <w:tcW w:w="1843"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000000" w:fill="FFFFFF"/>
            <w:noWrap/>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1"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rsidR="00B75D2A" w:rsidRPr="00B75D2A" w:rsidRDefault="00B75D2A" w:rsidP="00B75D2A">
            <w:pPr>
              <w:spacing w:after="0" w:line="240" w:lineRule="auto"/>
              <w:rPr>
                <w:rFonts w:ascii="Arial" w:eastAsia="Times New Roman" w:hAnsi="Arial" w:cs="Arial"/>
                <w:sz w:val="20"/>
                <w:szCs w:val="20"/>
                <w:lang w:eastAsia="en-GB"/>
              </w:rPr>
            </w:pPr>
            <w:r w:rsidRPr="00B75D2A">
              <w:rPr>
                <w:rFonts w:ascii="Arial" w:eastAsia="Times New Roman" w:hAnsi="Arial" w:cs="Arial"/>
                <w:sz w:val="20"/>
                <w:szCs w:val="20"/>
                <w:lang w:eastAsia="en-GB"/>
              </w:rPr>
              <w:t> </w:t>
            </w:r>
          </w:p>
        </w:tc>
        <w:tc>
          <w:tcPr>
            <w:tcW w:w="992" w:type="dxa"/>
            <w:tcBorders>
              <w:top w:val="single" w:sz="8" w:space="0" w:color="auto"/>
              <w:left w:val="nil"/>
              <w:bottom w:val="single" w:sz="4" w:space="0" w:color="auto"/>
              <w:right w:val="single" w:sz="8" w:space="0" w:color="auto"/>
            </w:tcBorders>
            <w:shd w:val="clear" w:color="000000" w:fill="D9D9D9"/>
            <w:noWrap/>
            <w:vAlign w:val="center"/>
            <w:hideMark/>
          </w:tcPr>
          <w:p w:rsidR="00B75D2A" w:rsidRPr="00B75D2A" w:rsidRDefault="00B75D2A" w:rsidP="00B75D2A">
            <w:pPr>
              <w:spacing w:after="0" w:line="240" w:lineRule="auto"/>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High Threat</w:t>
            </w:r>
          </w:p>
        </w:tc>
        <w:tc>
          <w:tcPr>
            <w:tcW w:w="81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781D9A" w:rsidRPr="00B75D2A" w:rsidTr="00781D9A">
        <w:trPr>
          <w:trHeight w:val="402"/>
        </w:trPr>
        <w:tc>
          <w:tcPr>
            <w:tcW w:w="1276" w:type="dxa"/>
            <w:gridSpan w:val="2"/>
            <w:tcBorders>
              <w:top w:val="nil"/>
              <w:left w:val="single" w:sz="8" w:space="0" w:color="auto"/>
              <w:bottom w:val="single" w:sz="4" w:space="0" w:color="auto"/>
              <w:right w:val="nil"/>
            </w:tcBorders>
            <w:shd w:val="clear" w:color="000000" w:fill="D9D9D9"/>
            <w:noWrap/>
            <w:vAlign w:val="center"/>
            <w:hideMark/>
          </w:tcPr>
          <w:p w:rsidR="00B75D2A" w:rsidRPr="00B75D2A" w:rsidRDefault="00B75D2A" w:rsidP="00781D9A">
            <w:pPr>
              <w:spacing w:after="0" w:line="240" w:lineRule="auto"/>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Very High</w:t>
            </w:r>
          </w:p>
        </w:tc>
        <w:tc>
          <w:tcPr>
            <w:tcW w:w="284" w:type="dxa"/>
            <w:tcBorders>
              <w:top w:val="nil"/>
              <w:left w:val="nil"/>
              <w:bottom w:val="single" w:sz="4" w:space="0" w:color="auto"/>
              <w:right w:val="single" w:sz="8"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5</w:t>
            </w:r>
          </w:p>
        </w:tc>
        <w:tc>
          <w:tcPr>
            <w:tcW w:w="992" w:type="dxa"/>
            <w:tcBorders>
              <w:top w:val="nil"/>
              <w:left w:val="nil"/>
              <w:bottom w:val="single" w:sz="4"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5</w:t>
            </w:r>
          </w:p>
        </w:tc>
        <w:tc>
          <w:tcPr>
            <w:tcW w:w="1134" w:type="dxa"/>
            <w:tcBorders>
              <w:top w:val="nil"/>
              <w:left w:val="nil"/>
              <w:bottom w:val="single" w:sz="4" w:space="0" w:color="auto"/>
              <w:right w:val="single" w:sz="4" w:space="0" w:color="auto"/>
            </w:tcBorders>
            <w:shd w:val="clear" w:color="000000" w:fill="FFCC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10</w:t>
            </w:r>
          </w:p>
        </w:tc>
        <w:tc>
          <w:tcPr>
            <w:tcW w:w="992" w:type="dxa"/>
            <w:tcBorders>
              <w:top w:val="nil"/>
              <w:left w:val="nil"/>
              <w:bottom w:val="single" w:sz="4" w:space="0" w:color="auto"/>
              <w:right w:val="single" w:sz="4" w:space="0" w:color="auto"/>
            </w:tcBorders>
            <w:shd w:val="clear" w:color="000000" w:fill="FF00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15</w:t>
            </w:r>
          </w:p>
        </w:tc>
        <w:tc>
          <w:tcPr>
            <w:tcW w:w="992" w:type="dxa"/>
            <w:tcBorders>
              <w:top w:val="single" w:sz="4" w:space="0" w:color="auto"/>
              <w:left w:val="nil"/>
              <w:bottom w:val="single" w:sz="4" w:space="0" w:color="auto"/>
              <w:right w:val="single" w:sz="4" w:space="0" w:color="auto"/>
            </w:tcBorders>
            <w:shd w:val="clear" w:color="000000" w:fill="FF00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20</w:t>
            </w:r>
          </w:p>
        </w:tc>
        <w:tc>
          <w:tcPr>
            <w:tcW w:w="1134" w:type="dxa"/>
            <w:tcBorders>
              <w:top w:val="single" w:sz="4" w:space="0" w:color="auto"/>
              <w:left w:val="single" w:sz="4" w:space="0" w:color="auto"/>
              <w:bottom w:val="single" w:sz="4" w:space="0" w:color="auto"/>
              <w:right w:val="single" w:sz="8" w:space="0" w:color="auto"/>
            </w:tcBorders>
            <w:shd w:val="clear" w:color="000000" w:fill="FF00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25</w:t>
            </w:r>
          </w:p>
        </w:tc>
        <w:tc>
          <w:tcPr>
            <w:tcW w:w="1843"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000000" w:fill="FFFFFF"/>
            <w:noWrap/>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1"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rsidR="00B75D2A" w:rsidRPr="00B75D2A" w:rsidRDefault="00B75D2A" w:rsidP="00B75D2A">
            <w:pPr>
              <w:spacing w:after="0" w:line="240" w:lineRule="auto"/>
              <w:rPr>
                <w:rFonts w:ascii="Arial" w:eastAsia="Times New Roman" w:hAnsi="Arial" w:cs="Arial"/>
                <w:sz w:val="20"/>
                <w:szCs w:val="20"/>
                <w:lang w:eastAsia="en-GB"/>
              </w:rPr>
            </w:pPr>
            <w:r w:rsidRPr="00B75D2A">
              <w:rPr>
                <w:rFonts w:ascii="Arial" w:eastAsia="Times New Roman" w:hAnsi="Arial" w:cs="Arial"/>
                <w:sz w:val="20"/>
                <w:szCs w:val="20"/>
                <w:lang w:eastAsia="en-GB"/>
              </w:rPr>
              <w:t> </w:t>
            </w:r>
          </w:p>
        </w:tc>
        <w:tc>
          <w:tcPr>
            <w:tcW w:w="992" w:type="dxa"/>
            <w:tcBorders>
              <w:top w:val="single" w:sz="4" w:space="0" w:color="auto"/>
              <w:left w:val="nil"/>
              <w:bottom w:val="single" w:sz="4" w:space="0" w:color="auto"/>
              <w:right w:val="single" w:sz="8" w:space="0" w:color="auto"/>
            </w:tcBorders>
            <w:shd w:val="clear" w:color="000000" w:fill="D9D9D9"/>
            <w:noWrap/>
            <w:vAlign w:val="center"/>
            <w:hideMark/>
          </w:tcPr>
          <w:p w:rsidR="00B75D2A" w:rsidRPr="00B75D2A" w:rsidRDefault="00B75D2A" w:rsidP="00B75D2A">
            <w:pPr>
              <w:spacing w:after="0" w:line="240" w:lineRule="auto"/>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Medium Threat</w:t>
            </w:r>
          </w:p>
        </w:tc>
        <w:tc>
          <w:tcPr>
            <w:tcW w:w="81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781D9A" w:rsidRPr="00B75D2A" w:rsidTr="00781D9A">
        <w:trPr>
          <w:trHeight w:val="402"/>
        </w:trPr>
        <w:tc>
          <w:tcPr>
            <w:tcW w:w="1276" w:type="dxa"/>
            <w:gridSpan w:val="2"/>
            <w:tcBorders>
              <w:top w:val="single" w:sz="4" w:space="0" w:color="auto"/>
              <w:left w:val="single" w:sz="8" w:space="0" w:color="auto"/>
              <w:bottom w:val="single" w:sz="4" w:space="0" w:color="auto"/>
              <w:right w:val="nil"/>
            </w:tcBorders>
            <w:shd w:val="clear" w:color="000000" w:fill="D9D9D9"/>
            <w:noWrap/>
            <w:vAlign w:val="center"/>
            <w:hideMark/>
          </w:tcPr>
          <w:p w:rsidR="00B75D2A" w:rsidRPr="00B75D2A" w:rsidRDefault="00B75D2A" w:rsidP="00781D9A">
            <w:pPr>
              <w:spacing w:after="0" w:line="240" w:lineRule="auto"/>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High</w:t>
            </w:r>
          </w:p>
        </w:tc>
        <w:tc>
          <w:tcPr>
            <w:tcW w:w="284" w:type="dxa"/>
            <w:tcBorders>
              <w:top w:val="nil"/>
              <w:left w:val="nil"/>
              <w:bottom w:val="single" w:sz="4" w:space="0" w:color="auto"/>
              <w:right w:val="single" w:sz="8"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4</w:t>
            </w:r>
          </w:p>
        </w:tc>
        <w:tc>
          <w:tcPr>
            <w:tcW w:w="992" w:type="dxa"/>
            <w:tcBorders>
              <w:top w:val="single" w:sz="4" w:space="0" w:color="auto"/>
              <w:left w:val="nil"/>
              <w:bottom w:val="single" w:sz="4"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4</w:t>
            </w:r>
          </w:p>
        </w:tc>
        <w:tc>
          <w:tcPr>
            <w:tcW w:w="1134" w:type="dxa"/>
            <w:tcBorders>
              <w:top w:val="nil"/>
              <w:left w:val="single" w:sz="4" w:space="0" w:color="auto"/>
              <w:bottom w:val="single" w:sz="4" w:space="0" w:color="auto"/>
              <w:right w:val="single" w:sz="4" w:space="0" w:color="auto"/>
            </w:tcBorders>
            <w:shd w:val="clear" w:color="000000" w:fill="FFCC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8</w:t>
            </w:r>
          </w:p>
        </w:tc>
        <w:tc>
          <w:tcPr>
            <w:tcW w:w="992" w:type="dxa"/>
            <w:tcBorders>
              <w:top w:val="nil"/>
              <w:left w:val="nil"/>
              <w:bottom w:val="single" w:sz="4" w:space="0" w:color="auto"/>
              <w:right w:val="single" w:sz="4" w:space="0" w:color="auto"/>
            </w:tcBorders>
            <w:shd w:val="clear" w:color="000000" w:fill="FFCC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12</w:t>
            </w:r>
          </w:p>
        </w:tc>
        <w:tc>
          <w:tcPr>
            <w:tcW w:w="992" w:type="dxa"/>
            <w:tcBorders>
              <w:top w:val="nil"/>
              <w:left w:val="nil"/>
              <w:bottom w:val="single" w:sz="4" w:space="0" w:color="auto"/>
              <w:right w:val="single" w:sz="4" w:space="0" w:color="auto"/>
            </w:tcBorders>
            <w:shd w:val="clear" w:color="000000" w:fill="FF00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16</w:t>
            </w:r>
          </w:p>
        </w:tc>
        <w:tc>
          <w:tcPr>
            <w:tcW w:w="1134" w:type="dxa"/>
            <w:tcBorders>
              <w:top w:val="nil"/>
              <w:left w:val="single" w:sz="4" w:space="0" w:color="auto"/>
              <w:bottom w:val="single" w:sz="4" w:space="0" w:color="auto"/>
              <w:right w:val="single" w:sz="8" w:space="0" w:color="auto"/>
            </w:tcBorders>
            <w:shd w:val="clear" w:color="000000" w:fill="FF00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20</w:t>
            </w:r>
          </w:p>
        </w:tc>
        <w:tc>
          <w:tcPr>
            <w:tcW w:w="1843"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000000" w:fill="FFFFFF"/>
            <w:noWrap/>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1" w:type="dxa"/>
            <w:tcBorders>
              <w:top w:val="single" w:sz="4" w:space="0" w:color="auto"/>
              <w:left w:val="single" w:sz="8" w:space="0" w:color="auto"/>
              <w:bottom w:val="single" w:sz="8" w:space="0" w:color="auto"/>
              <w:right w:val="single" w:sz="4" w:space="0" w:color="auto"/>
            </w:tcBorders>
            <w:shd w:val="clear" w:color="000000" w:fill="00FF00"/>
            <w:noWrap/>
            <w:vAlign w:val="bottom"/>
            <w:hideMark/>
          </w:tcPr>
          <w:p w:rsidR="00B75D2A" w:rsidRPr="00B75D2A" w:rsidRDefault="00B75D2A" w:rsidP="00B75D2A">
            <w:pPr>
              <w:spacing w:after="0" w:line="240" w:lineRule="auto"/>
              <w:rPr>
                <w:rFonts w:ascii="Arial" w:eastAsia="Times New Roman" w:hAnsi="Arial" w:cs="Arial"/>
                <w:sz w:val="20"/>
                <w:szCs w:val="20"/>
                <w:lang w:eastAsia="en-GB"/>
              </w:rPr>
            </w:pPr>
            <w:r w:rsidRPr="00B75D2A">
              <w:rPr>
                <w:rFonts w:ascii="Arial" w:eastAsia="Times New Roman" w:hAnsi="Arial" w:cs="Arial"/>
                <w:sz w:val="20"/>
                <w:szCs w:val="20"/>
                <w:lang w:eastAsia="en-GB"/>
              </w:rPr>
              <w:t> </w:t>
            </w:r>
          </w:p>
        </w:tc>
        <w:tc>
          <w:tcPr>
            <w:tcW w:w="992" w:type="dxa"/>
            <w:tcBorders>
              <w:top w:val="single" w:sz="4" w:space="0" w:color="auto"/>
              <w:left w:val="single" w:sz="4" w:space="0" w:color="auto"/>
              <w:bottom w:val="single" w:sz="8" w:space="0" w:color="auto"/>
              <w:right w:val="single" w:sz="8" w:space="0" w:color="auto"/>
            </w:tcBorders>
            <w:shd w:val="clear" w:color="000000" w:fill="D9D9D9"/>
            <w:noWrap/>
            <w:vAlign w:val="center"/>
            <w:hideMark/>
          </w:tcPr>
          <w:p w:rsidR="00B75D2A" w:rsidRPr="00B75D2A" w:rsidRDefault="00B75D2A" w:rsidP="00B75D2A">
            <w:pPr>
              <w:spacing w:after="0" w:line="240" w:lineRule="auto"/>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Low Threat</w:t>
            </w:r>
          </w:p>
        </w:tc>
        <w:tc>
          <w:tcPr>
            <w:tcW w:w="812" w:type="dxa"/>
            <w:tcBorders>
              <w:top w:val="nil"/>
              <w:left w:val="nil"/>
              <w:bottom w:val="nil"/>
              <w:right w:val="nil"/>
            </w:tcBorders>
            <w:shd w:val="clear" w:color="auto" w:fill="auto"/>
            <w:noWrap/>
            <w:vAlign w:val="bottom"/>
            <w:hideMark/>
          </w:tcPr>
          <w:p w:rsidR="00B75D2A" w:rsidRPr="00B75D2A" w:rsidRDefault="00B75D2A" w:rsidP="00B75D2A">
            <w:pPr>
              <w:spacing w:after="0" w:line="240" w:lineRule="auto"/>
              <w:rPr>
                <w:rFonts w:ascii="Arial" w:eastAsia="Times New Roman" w:hAnsi="Arial" w:cs="Arial"/>
                <w:b/>
                <w:bCs/>
                <w:sz w:val="20"/>
                <w:szCs w:val="20"/>
                <w:lang w:eastAsia="en-GB"/>
              </w:rPr>
            </w:pPr>
          </w:p>
        </w:tc>
      </w:tr>
      <w:tr w:rsidR="00781D9A" w:rsidRPr="00B75D2A" w:rsidTr="00781D9A">
        <w:trPr>
          <w:trHeight w:val="402"/>
        </w:trPr>
        <w:tc>
          <w:tcPr>
            <w:tcW w:w="1276" w:type="dxa"/>
            <w:gridSpan w:val="2"/>
            <w:tcBorders>
              <w:top w:val="nil"/>
              <w:left w:val="single" w:sz="8" w:space="0" w:color="auto"/>
              <w:bottom w:val="single" w:sz="4" w:space="0" w:color="auto"/>
              <w:right w:val="nil"/>
            </w:tcBorders>
            <w:shd w:val="clear" w:color="000000" w:fill="D9D9D9"/>
            <w:noWrap/>
            <w:vAlign w:val="center"/>
            <w:hideMark/>
          </w:tcPr>
          <w:p w:rsidR="00B75D2A" w:rsidRPr="00B75D2A" w:rsidRDefault="00B75D2A" w:rsidP="00781D9A">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Med</w:t>
            </w:r>
            <w:r w:rsidR="00781D9A">
              <w:rPr>
                <w:rFonts w:ascii="Arial" w:eastAsia="Times New Roman" w:hAnsi="Arial" w:cs="Arial"/>
                <w:b/>
                <w:bCs/>
                <w:sz w:val="20"/>
                <w:szCs w:val="20"/>
                <w:lang w:eastAsia="en-GB"/>
              </w:rPr>
              <w:t>ium</w:t>
            </w:r>
          </w:p>
        </w:tc>
        <w:tc>
          <w:tcPr>
            <w:tcW w:w="284" w:type="dxa"/>
            <w:tcBorders>
              <w:top w:val="nil"/>
              <w:left w:val="nil"/>
              <w:bottom w:val="single" w:sz="4" w:space="0" w:color="auto"/>
              <w:right w:val="single" w:sz="8"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3</w:t>
            </w:r>
          </w:p>
        </w:tc>
        <w:tc>
          <w:tcPr>
            <w:tcW w:w="992" w:type="dxa"/>
            <w:tcBorders>
              <w:top w:val="nil"/>
              <w:left w:val="nil"/>
              <w:bottom w:val="single" w:sz="4"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3</w:t>
            </w:r>
          </w:p>
        </w:tc>
        <w:tc>
          <w:tcPr>
            <w:tcW w:w="1134" w:type="dxa"/>
            <w:tcBorders>
              <w:top w:val="nil"/>
              <w:left w:val="single" w:sz="4" w:space="0" w:color="auto"/>
              <w:bottom w:val="single" w:sz="4"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6</w:t>
            </w:r>
          </w:p>
        </w:tc>
        <w:tc>
          <w:tcPr>
            <w:tcW w:w="992" w:type="dxa"/>
            <w:tcBorders>
              <w:top w:val="nil"/>
              <w:left w:val="nil"/>
              <w:bottom w:val="single" w:sz="4" w:space="0" w:color="auto"/>
              <w:right w:val="single" w:sz="4" w:space="0" w:color="auto"/>
            </w:tcBorders>
            <w:shd w:val="clear" w:color="000000" w:fill="FFCC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9</w:t>
            </w:r>
          </w:p>
        </w:tc>
        <w:tc>
          <w:tcPr>
            <w:tcW w:w="992" w:type="dxa"/>
            <w:tcBorders>
              <w:top w:val="nil"/>
              <w:left w:val="nil"/>
              <w:bottom w:val="single" w:sz="4" w:space="0" w:color="auto"/>
              <w:right w:val="single" w:sz="4" w:space="0" w:color="auto"/>
            </w:tcBorders>
            <w:shd w:val="clear" w:color="000000" w:fill="FFCC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12</w:t>
            </w:r>
          </w:p>
        </w:tc>
        <w:tc>
          <w:tcPr>
            <w:tcW w:w="1134" w:type="dxa"/>
            <w:tcBorders>
              <w:top w:val="nil"/>
              <w:left w:val="single" w:sz="4" w:space="0" w:color="auto"/>
              <w:bottom w:val="single" w:sz="4" w:space="0" w:color="auto"/>
              <w:right w:val="single" w:sz="8" w:space="0" w:color="auto"/>
            </w:tcBorders>
            <w:shd w:val="clear" w:color="000000" w:fill="FF00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15</w:t>
            </w:r>
          </w:p>
        </w:tc>
        <w:tc>
          <w:tcPr>
            <w:tcW w:w="1843"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000000" w:fill="FFFFFF"/>
            <w:noWrap/>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1"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781D9A" w:rsidRPr="00B75D2A" w:rsidTr="00781D9A">
        <w:trPr>
          <w:trHeight w:val="402"/>
        </w:trPr>
        <w:tc>
          <w:tcPr>
            <w:tcW w:w="1276" w:type="dxa"/>
            <w:gridSpan w:val="2"/>
            <w:tcBorders>
              <w:top w:val="nil"/>
              <w:left w:val="single" w:sz="8" w:space="0" w:color="auto"/>
              <w:bottom w:val="single" w:sz="4" w:space="0" w:color="auto"/>
              <w:right w:val="nil"/>
            </w:tcBorders>
            <w:shd w:val="clear" w:color="000000" w:fill="D9D9D9"/>
            <w:noWrap/>
            <w:vAlign w:val="center"/>
            <w:hideMark/>
          </w:tcPr>
          <w:p w:rsidR="00B75D2A" w:rsidRPr="00B75D2A" w:rsidRDefault="00B75D2A" w:rsidP="00781D9A">
            <w:pPr>
              <w:spacing w:after="0" w:line="240" w:lineRule="auto"/>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Low</w:t>
            </w:r>
          </w:p>
        </w:tc>
        <w:tc>
          <w:tcPr>
            <w:tcW w:w="284" w:type="dxa"/>
            <w:tcBorders>
              <w:top w:val="nil"/>
              <w:left w:val="nil"/>
              <w:bottom w:val="single" w:sz="4" w:space="0" w:color="auto"/>
              <w:right w:val="single" w:sz="8"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2</w:t>
            </w:r>
          </w:p>
        </w:tc>
        <w:tc>
          <w:tcPr>
            <w:tcW w:w="992" w:type="dxa"/>
            <w:tcBorders>
              <w:top w:val="nil"/>
              <w:left w:val="nil"/>
              <w:bottom w:val="single" w:sz="4"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2</w:t>
            </w:r>
          </w:p>
        </w:tc>
        <w:tc>
          <w:tcPr>
            <w:tcW w:w="1134" w:type="dxa"/>
            <w:tcBorders>
              <w:top w:val="nil"/>
              <w:left w:val="single" w:sz="4" w:space="0" w:color="auto"/>
              <w:bottom w:val="single" w:sz="4"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4</w:t>
            </w:r>
          </w:p>
        </w:tc>
        <w:tc>
          <w:tcPr>
            <w:tcW w:w="992" w:type="dxa"/>
            <w:tcBorders>
              <w:top w:val="nil"/>
              <w:left w:val="nil"/>
              <w:bottom w:val="single" w:sz="4"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6</w:t>
            </w:r>
          </w:p>
        </w:tc>
        <w:tc>
          <w:tcPr>
            <w:tcW w:w="992" w:type="dxa"/>
            <w:tcBorders>
              <w:top w:val="nil"/>
              <w:left w:val="nil"/>
              <w:bottom w:val="single" w:sz="4" w:space="0" w:color="auto"/>
              <w:right w:val="single" w:sz="4" w:space="0" w:color="auto"/>
            </w:tcBorders>
            <w:shd w:val="clear" w:color="000000" w:fill="FFCC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8</w:t>
            </w:r>
          </w:p>
        </w:tc>
        <w:tc>
          <w:tcPr>
            <w:tcW w:w="1134" w:type="dxa"/>
            <w:tcBorders>
              <w:top w:val="nil"/>
              <w:left w:val="single" w:sz="4" w:space="0" w:color="auto"/>
              <w:bottom w:val="single" w:sz="4" w:space="0" w:color="auto"/>
              <w:right w:val="single" w:sz="8" w:space="0" w:color="auto"/>
            </w:tcBorders>
            <w:shd w:val="clear" w:color="000000" w:fill="FFCC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10</w:t>
            </w:r>
          </w:p>
        </w:tc>
        <w:tc>
          <w:tcPr>
            <w:tcW w:w="1843"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000000" w:fill="FFFFFF"/>
            <w:noWrap/>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1"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781D9A" w:rsidRPr="00B75D2A" w:rsidTr="00781D9A">
        <w:trPr>
          <w:trHeight w:val="402"/>
        </w:trPr>
        <w:tc>
          <w:tcPr>
            <w:tcW w:w="1276" w:type="dxa"/>
            <w:gridSpan w:val="2"/>
            <w:tcBorders>
              <w:top w:val="nil"/>
              <w:left w:val="single" w:sz="8" w:space="0" w:color="auto"/>
              <w:bottom w:val="single" w:sz="8" w:space="0" w:color="auto"/>
              <w:right w:val="nil"/>
            </w:tcBorders>
            <w:shd w:val="clear" w:color="000000" w:fill="D9D9D9"/>
            <w:noWrap/>
            <w:vAlign w:val="center"/>
            <w:hideMark/>
          </w:tcPr>
          <w:p w:rsidR="00B75D2A" w:rsidRPr="00B75D2A" w:rsidRDefault="00B75D2A" w:rsidP="00781D9A">
            <w:pPr>
              <w:spacing w:after="0" w:line="240" w:lineRule="auto"/>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Very Low</w:t>
            </w:r>
          </w:p>
        </w:tc>
        <w:tc>
          <w:tcPr>
            <w:tcW w:w="284" w:type="dxa"/>
            <w:tcBorders>
              <w:top w:val="nil"/>
              <w:left w:val="nil"/>
              <w:bottom w:val="single" w:sz="8" w:space="0" w:color="auto"/>
              <w:right w:val="single" w:sz="8"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w:t>
            </w:r>
          </w:p>
        </w:tc>
        <w:tc>
          <w:tcPr>
            <w:tcW w:w="992" w:type="dxa"/>
            <w:tcBorders>
              <w:top w:val="single" w:sz="4" w:space="0" w:color="auto"/>
              <w:left w:val="nil"/>
              <w:bottom w:val="single" w:sz="8"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w:t>
            </w:r>
          </w:p>
        </w:tc>
        <w:tc>
          <w:tcPr>
            <w:tcW w:w="1134" w:type="dxa"/>
            <w:tcBorders>
              <w:top w:val="nil"/>
              <w:left w:val="nil"/>
              <w:bottom w:val="single" w:sz="8"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2</w:t>
            </w:r>
          </w:p>
        </w:tc>
        <w:tc>
          <w:tcPr>
            <w:tcW w:w="992" w:type="dxa"/>
            <w:tcBorders>
              <w:top w:val="nil"/>
              <w:left w:val="nil"/>
              <w:bottom w:val="single" w:sz="8"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3</w:t>
            </w:r>
          </w:p>
        </w:tc>
        <w:tc>
          <w:tcPr>
            <w:tcW w:w="992" w:type="dxa"/>
            <w:tcBorders>
              <w:top w:val="nil"/>
              <w:left w:val="nil"/>
              <w:bottom w:val="single" w:sz="8" w:space="0" w:color="auto"/>
              <w:right w:val="single" w:sz="4"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4</w:t>
            </w:r>
          </w:p>
        </w:tc>
        <w:tc>
          <w:tcPr>
            <w:tcW w:w="1134" w:type="dxa"/>
            <w:tcBorders>
              <w:top w:val="single" w:sz="4" w:space="0" w:color="auto"/>
              <w:left w:val="single" w:sz="4" w:space="0" w:color="auto"/>
              <w:bottom w:val="single" w:sz="8" w:space="0" w:color="auto"/>
              <w:right w:val="single" w:sz="8" w:space="0" w:color="auto"/>
            </w:tcBorders>
            <w:shd w:val="clear" w:color="000000" w:fill="00FF00"/>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5</w:t>
            </w:r>
          </w:p>
        </w:tc>
        <w:tc>
          <w:tcPr>
            <w:tcW w:w="1843"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000000" w:fill="FFFFFF"/>
            <w:noWrap/>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1"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781D9A" w:rsidRPr="00B75D2A" w:rsidTr="00781D9A">
        <w:trPr>
          <w:trHeight w:val="402"/>
        </w:trPr>
        <w:tc>
          <w:tcPr>
            <w:tcW w:w="1276" w:type="dxa"/>
            <w:gridSpan w:val="2"/>
            <w:tcBorders>
              <w:top w:val="nil"/>
              <w:left w:val="nil"/>
              <w:bottom w:val="nil"/>
              <w:right w:val="nil"/>
            </w:tcBorders>
            <w:shd w:val="clear" w:color="000000" w:fill="FFFFFF"/>
            <w:noWrap/>
            <w:vAlign w:val="center"/>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84" w:type="dxa"/>
            <w:tcBorders>
              <w:top w:val="nil"/>
              <w:left w:val="nil"/>
              <w:bottom w:val="nil"/>
              <w:right w:val="nil"/>
            </w:tcBorders>
            <w:shd w:val="clear" w:color="000000" w:fill="FFFFFF"/>
            <w:noWrap/>
            <w:vAlign w:val="center"/>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single" w:sz="8" w:space="0" w:color="auto"/>
              <w:bottom w:val="nil"/>
              <w:right w:val="single" w:sz="4"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w:t>
            </w:r>
          </w:p>
        </w:tc>
        <w:tc>
          <w:tcPr>
            <w:tcW w:w="1134" w:type="dxa"/>
            <w:tcBorders>
              <w:top w:val="nil"/>
              <w:left w:val="single" w:sz="4" w:space="0" w:color="auto"/>
              <w:bottom w:val="nil"/>
              <w:right w:val="single" w:sz="4"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2</w:t>
            </w:r>
          </w:p>
        </w:tc>
        <w:tc>
          <w:tcPr>
            <w:tcW w:w="992" w:type="dxa"/>
            <w:tcBorders>
              <w:top w:val="nil"/>
              <w:left w:val="nil"/>
              <w:bottom w:val="nil"/>
              <w:right w:val="single" w:sz="4"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3</w:t>
            </w:r>
          </w:p>
        </w:tc>
        <w:tc>
          <w:tcPr>
            <w:tcW w:w="992" w:type="dxa"/>
            <w:tcBorders>
              <w:top w:val="nil"/>
              <w:left w:val="nil"/>
              <w:bottom w:val="nil"/>
              <w:right w:val="single" w:sz="4"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4</w:t>
            </w:r>
          </w:p>
        </w:tc>
        <w:tc>
          <w:tcPr>
            <w:tcW w:w="1134" w:type="dxa"/>
            <w:tcBorders>
              <w:top w:val="nil"/>
              <w:left w:val="nil"/>
              <w:bottom w:val="nil"/>
              <w:right w:val="single" w:sz="8"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5</w:t>
            </w:r>
          </w:p>
        </w:tc>
        <w:tc>
          <w:tcPr>
            <w:tcW w:w="1843"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000000" w:fill="FFFFFF"/>
            <w:noWrap/>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1"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781D9A" w:rsidRPr="00B75D2A" w:rsidTr="00781D9A">
        <w:trPr>
          <w:trHeight w:val="402"/>
        </w:trPr>
        <w:tc>
          <w:tcPr>
            <w:tcW w:w="1276" w:type="dxa"/>
            <w:gridSpan w:val="2"/>
            <w:tcBorders>
              <w:top w:val="nil"/>
              <w:left w:val="nil"/>
              <w:bottom w:val="nil"/>
              <w:right w:val="nil"/>
            </w:tcBorders>
            <w:shd w:val="clear" w:color="000000" w:fill="FFFFFF"/>
            <w:noWrap/>
            <w:vAlign w:val="center"/>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84" w:type="dxa"/>
            <w:tcBorders>
              <w:top w:val="nil"/>
              <w:left w:val="nil"/>
              <w:bottom w:val="nil"/>
              <w:right w:val="nil"/>
            </w:tcBorders>
            <w:shd w:val="clear" w:color="000000" w:fill="FFFFFF"/>
            <w:noWrap/>
            <w:vAlign w:val="center"/>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single" w:sz="8" w:space="0" w:color="auto"/>
              <w:bottom w:val="nil"/>
              <w:right w:val="single" w:sz="4"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Very Low</w:t>
            </w:r>
          </w:p>
        </w:tc>
        <w:tc>
          <w:tcPr>
            <w:tcW w:w="1134" w:type="dxa"/>
            <w:tcBorders>
              <w:top w:val="nil"/>
              <w:left w:val="nil"/>
              <w:bottom w:val="nil"/>
              <w:right w:val="single" w:sz="4"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Low</w:t>
            </w:r>
          </w:p>
        </w:tc>
        <w:tc>
          <w:tcPr>
            <w:tcW w:w="992" w:type="dxa"/>
            <w:tcBorders>
              <w:top w:val="nil"/>
              <w:left w:val="nil"/>
              <w:bottom w:val="nil"/>
              <w:right w:val="single" w:sz="4"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Medium</w:t>
            </w:r>
          </w:p>
        </w:tc>
        <w:tc>
          <w:tcPr>
            <w:tcW w:w="992" w:type="dxa"/>
            <w:tcBorders>
              <w:top w:val="nil"/>
              <w:left w:val="nil"/>
              <w:bottom w:val="nil"/>
              <w:right w:val="single" w:sz="4"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High</w:t>
            </w:r>
          </w:p>
        </w:tc>
        <w:tc>
          <w:tcPr>
            <w:tcW w:w="1134" w:type="dxa"/>
            <w:tcBorders>
              <w:top w:val="nil"/>
              <w:left w:val="nil"/>
              <w:bottom w:val="nil"/>
              <w:right w:val="single" w:sz="8"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Very High</w:t>
            </w:r>
          </w:p>
        </w:tc>
        <w:tc>
          <w:tcPr>
            <w:tcW w:w="1843"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000000" w:fill="FFFFFF"/>
            <w:noWrap/>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1"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B75D2A" w:rsidRPr="00B75D2A" w:rsidTr="00781D9A">
        <w:trPr>
          <w:trHeight w:val="355"/>
        </w:trPr>
        <w:tc>
          <w:tcPr>
            <w:tcW w:w="1276" w:type="dxa"/>
            <w:gridSpan w:val="2"/>
            <w:tcBorders>
              <w:top w:val="nil"/>
              <w:left w:val="nil"/>
              <w:bottom w:val="nil"/>
              <w:right w:val="nil"/>
            </w:tcBorders>
            <w:shd w:val="clear" w:color="000000" w:fill="FFFFFF"/>
            <w:noWrap/>
            <w:vAlign w:val="center"/>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84" w:type="dxa"/>
            <w:tcBorders>
              <w:top w:val="nil"/>
              <w:left w:val="nil"/>
              <w:bottom w:val="nil"/>
              <w:right w:val="nil"/>
            </w:tcBorders>
            <w:shd w:val="clear" w:color="000000" w:fill="FFFFFF"/>
            <w:noWrap/>
            <w:vAlign w:val="center"/>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5244"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75D2A" w:rsidRPr="00B75D2A" w:rsidRDefault="00B75D2A" w:rsidP="00B75D2A">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Impact </w:t>
            </w:r>
          </w:p>
        </w:tc>
        <w:tc>
          <w:tcPr>
            <w:tcW w:w="1843"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000000" w:fill="FFFFFF"/>
            <w:noWrap/>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1"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nil"/>
              <w:right w:val="nil"/>
            </w:tcBorders>
            <w:shd w:val="clear" w:color="000000" w:fill="FFFFFF"/>
            <w:noWrap/>
            <w:vAlign w:val="bottom"/>
            <w:hideMark/>
          </w:tcPr>
          <w:p w:rsidR="00B75D2A" w:rsidRPr="00B75D2A" w:rsidRDefault="00B75D2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781D9A" w:rsidRPr="00B75D2A" w:rsidTr="00781D9A">
        <w:trPr>
          <w:trHeight w:val="402"/>
        </w:trPr>
        <w:tc>
          <w:tcPr>
            <w:tcW w:w="1276" w:type="dxa"/>
            <w:gridSpan w:val="2"/>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84" w:type="dxa"/>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1134" w:type="dxa"/>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1134" w:type="dxa"/>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1843" w:type="dxa"/>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nil"/>
              <w:right w:val="nil"/>
            </w:tcBorders>
            <w:shd w:val="clear" w:color="000000" w:fill="FFFFFF"/>
            <w:noWrap/>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1" w:type="dxa"/>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nil"/>
              <w:right w:val="nil"/>
            </w:tcBorders>
            <w:shd w:val="clear" w:color="000000" w:fill="FFFFFF"/>
            <w:noWrap/>
            <w:vAlign w:val="bottom"/>
            <w:hideMark/>
          </w:tcPr>
          <w:p w:rsidR="00781D9A" w:rsidRPr="00B75D2A" w:rsidRDefault="00781D9A" w:rsidP="00B75D2A">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781D9A" w:rsidRPr="00B75D2A" w:rsidTr="004E2181">
        <w:trPr>
          <w:gridAfter w:val="12"/>
          <w:wAfter w:w="13183" w:type="dxa"/>
          <w:trHeight w:val="390"/>
        </w:trPr>
        <w:tc>
          <w:tcPr>
            <w:tcW w:w="812" w:type="dxa"/>
            <w:tcBorders>
              <w:top w:val="nil"/>
              <w:left w:val="nil"/>
              <w:bottom w:val="nil"/>
              <w:right w:val="nil"/>
            </w:tcBorders>
            <w:shd w:val="clear" w:color="000000" w:fill="FFFFFF"/>
            <w:noWrap/>
            <w:vAlign w:val="bottom"/>
          </w:tcPr>
          <w:p w:rsidR="00781D9A" w:rsidRPr="00B75D2A" w:rsidRDefault="00781D9A" w:rsidP="00B75D2A">
            <w:pPr>
              <w:spacing w:after="0" w:line="240" w:lineRule="auto"/>
              <w:rPr>
                <w:rFonts w:ascii="Arial" w:eastAsia="Times New Roman" w:hAnsi="Arial" w:cs="Arial"/>
                <w:color w:val="000000"/>
                <w:sz w:val="20"/>
                <w:szCs w:val="20"/>
                <w:lang w:eastAsia="en-GB"/>
              </w:rPr>
            </w:pPr>
          </w:p>
        </w:tc>
      </w:tr>
      <w:tr w:rsidR="00781D9A" w:rsidRPr="00B75D2A" w:rsidTr="004E2181">
        <w:trPr>
          <w:gridAfter w:val="12"/>
          <w:wAfter w:w="13183" w:type="dxa"/>
          <w:trHeight w:val="390"/>
        </w:trPr>
        <w:tc>
          <w:tcPr>
            <w:tcW w:w="812" w:type="dxa"/>
            <w:tcBorders>
              <w:top w:val="nil"/>
              <w:left w:val="nil"/>
              <w:bottom w:val="nil"/>
              <w:right w:val="nil"/>
            </w:tcBorders>
            <w:shd w:val="clear" w:color="000000" w:fill="FFFFFF"/>
            <w:noWrap/>
            <w:vAlign w:val="bottom"/>
          </w:tcPr>
          <w:p w:rsidR="00781D9A" w:rsidRDefault="00781D9A" w:rsidP="00B75D2A">
            <w:pPr>
              <w:spacing w:after="0" w:line="240" w:lineRule="auto"/>
              <w:rPr>
                <w:rFonts w:ascii="Arial" w:eastAsia="Times New Roman" w:hAnsi="Arial" w:cs="Arial"/>
                <w:color w:val="000000"/>
                <w:sz w:val="20"/>
                <w:szCs w:val="20"/>
                <w:lang w:eastAsia="en-GB"/>
              </w:rPr>
            </w:pPr>
          </w:p>
          <w:p w:rsidR="00781D9A" w:rsidRPr="00B75D2A" w:rsidRDefault="00781D9A" w:rsidP="00B75D2A">
            <w:pPr>
              <w:spacing w:after="0" w:line="240" w:lineRule="auto"/>
              <w:rPr>
                <w:rFonts w:ascii="Arial" w:eastAsia="Times New Roman" w:hAnsi="Arial" w:cs="Arial"/>
                <w:color w:val="000000"/>
                <w:sz w:val="20"/>
                <w:szCs w:val="20"/>
                <w:lang w:eastAsia="en-GB"/>
              </w:rPr>
            </w:pPr>
          </w:p>
        </w:tc>
      </w:tr>
    </w:tbl>
    <w:tbl>
      <w:tblPr>
        <w:tblStyle w:val="TableGrid"/>
        <w:tblW w:w="0" w:type="auto"/>
        <w:tblLook w:val="04A0" w:firstRow="1" w:lastRow="0" w:firstColumn="1" w:lastColumn="0" w:noHBand="0" w:noVBand="1"/>
      </w:tblPr>
      <w:tblGrid>
        <w:gridCol w:w="1696"/>
        <w:gridCol w:w="1276"/>
        <w:gridCol w:w="1843"/>
      </w:tblGrid>
      <w:tr w:rsidR="00781D9A" w:rsidTr="00781D9A">
        <w:tc>
          <w:tcPr>
            <w:tcW w:w="4815" w:type="dxa"/>
            <w:gridSpan w:val="3"/>
            <w:shd w:val="pct15" w:color="auto" w:fill="auto"/>
          </w:tcPr>
          <w:p w:rsidR="00781D9A" w:rsidRPr="00781D9A" w:rsidRDefault="00781D9A" w:rsidP="00860011">
            <w:pPr>
              <w:jc w:val="center"/>
              <w:rPr>
                <w:b/>
                <w:sz w:val="24"/>
                <w:szCs w:val="24"/>
              </w:rPr>
            </w:pPr>
            <w:r w:rsidRPr="00781D9A">
              <w:rPr>
                <w:rFonts w:ascii="Arial" w:eastAsia="Times New Roman" w:hAnsi="Arial" w:cs="Arial"/>
                <w:b/>
                <w:bCs/>
                <w:color w:val="000000"/>
                <w:sz w:val="24"/>
                <w:szCs w:val="24"/>
                <w:lang w:eastAsia="en-GB"/>
              </w:rPr>
              <w:t>Risk Totals</w:t>
            </w:r>
            <w:r w:rsidRPr="00781D9A">
              <w:rPr>
                <w:b/>
                <w:sz w:val="24"/>
                <w:szCs w:val="24"/>
              </w:rPr>
              <w:t xml:space="preserve"> </w:t>
            </w:r>
            <w:r>
              <w:rPr>
                <w:b/>
                <w:sz w:val="24"/>
                <w:szCs w:val="24"/>
              </w:rPr>
              <w:t>(from table below)</w:t>
            </w:r>
          </w:p>
        </w:tc>
      </w:tr>
      <w:tr w:rsidR="00781D9A" w:rsidTr="00860011">
        <w:tc>
          <w:tcPr>
            <w:tcW w:w="1696" w:type="dxa"/>
          </w:tcPr>
          <w:p w:rsidR="00781D9A" w:rsidRPr="00781D9A" w:rsidRDefault="00781D9A" w:rsidP="00860011">
            <w:pPr>
              <w:rPr>
                <w:sz w:val="24"/>
                <w:szCs w:val="24"/>
              </w:rPr>
            </w:pPr>
            <w:r w:rsidRPr="00781D9A">
              <w:rPr>
                <w:sz w:val="24"/>
                <w:szCs w:val="24"/>
              </w:rPr>
              <w:t>Risk Low</w:t>
            </w:r>
          </w:p>
        </w:tc>
        <w:tc>
          <w:tcPr>
            <w:tcW w:w="1276" w:type="dxa"/>
            <w:tcBorders>
              <w:top w:val="single" w:sz="4" w:space="0" w:color="auto"/>
              <w:left w:val="single" w:sz="8" w:space="0" w:color="auto"/>
              <w:bottom w:val="single" w:sz="8" w:space="0" w:color="auto"/>
              <w:right w:val="single" w:sz="4" w:space="0" w:color="auto"/>
            </w:tcBorders>
            <w:shd w:val="clear" w:color="000000" w:fill="00FF00"/>
            <w:vAlign w:val="bottom"/>
          </w:tcPr>
          <w:p w:rsidR="00781D9A" w:rsidRPr="00781D9A" w:rsidRDefault="00781D9A" w:rsidP="00860011">
            <w:pPr>
              <w:rPr>
                <w:rFonts w:ascii="Arial" w:eastAsia="Times New Roman" w:hAnsi="Arial" w:cs="Arial"/>
                <w:sz w:val="24"/>
                <w:szCs w:val="24"/>
                <w:lang w:eastAsia="en-GB"/>
              </w:rPr>
            </w:pPr>
            <w:r w:rsidRPr="00781D9A">
              <w:rPr>
                <w:rFonts w:ascii="Arial" w:eastAsia="Times New Roman" w:hAnsi="Arial" w:cs="Arial"/>
                <w:sz w:val="24"/>
                <w:szCs w:val="24"/>
                <w:lang w:eastAsia="en-GB"/>
              </w:rPr>
              <w:t> </w:t>
            </w:r>
          </w:p>
        </w:tc>
        <w:tc>
          <w:tcPr>
            <w:tcW w:w="1843" w:type="dxa"/>
          </w:tcPr>
          <w:p w:rsidR="00781D9A" w:rsidRPr="00781D9A" w:rsidRDefault="00781D9A" w:rsidP="00860011">
            <w:pPr>
              <w:rPr>
                <w:sz w:val="24"/>
                <w:szCs w:val="24"/>
              </w:rPr>
            </w:pPr>
            <w:r w:rsidRPr="00781D9A">
              <w:rPr>
                <w:sz w:val="24"/>
                <w:szCs w:val="24"/>
              </w:rPr>
              <w:t>£1,977,500</w:t>
            </w:r>
          </w:p>
        </w:tc>
      </w:tr>
      <w:tr w:rsidR="00781D9A" w:rsidTr="00860011">
        <w:tc>
          <w:tcPr>
            <w:tcW w:w="1696" w:type="dxa"/>
          </w:tcPr>
          <w:p w:rsidR="00781D9A" w:rsidRPr="00781D9A" w:rsidRDefault="00781D9A" w:rsidP="00860011">
            <w:pPr>
              <w:rPr>
                <w:sz w:val="24"/>
                <w:szCs w:val="24"/>
              </w:rPr>
            </w:pPr>
            <w:r w:rsidRPr="00781D9A">
              <w:rPr>
                <w:sz w:val="24"/>
                <w:szCs w:val="24"/>
              </w:rPr>
              <w:t>Risk medium</w:t>
            </w:r>
          </w:p>
        </w:tc>
        <w:tc>
          <w:tcPr>
            <w:tcW w:w="1276" w:type="dxa"/>
            <w:tcBorders>
              <w:top w:val="single" w:sz="4" w:space="0" w:color="auto"/>
              <w:left w:val="single" w:sz="8" w:space="0" w:color="auto"/>
              <w:bottom w:val="single" w:sz="4" w:space="0" w:color="auto"/>
              <w:right w:val="single" w:sz="4" w:space="0" w:color="auto"/>
            </w:tcBorders>
            <w:shd w:val="clear" w:color="000000" w:fill="FFC000"/>
            <w:vAlign w:val="bottom"/>
          </w:tcPr>
          <w:p w:rsidR="00781D9A" w:rsidRPr="00781D9A" w:rsidRDefault="00781D9A" w:rsidP="00860011">
            <w:pPr>
              <w:rPr>
                <w:rFonts w:ascii="Arial" w:eastAsia="Times New Roman" w:hAnsi="Arial" w:cs="Arial"/>
                <w:sz w:val="24"/>
                <w:szCs w:val="24"/>
                <w:lang w:eastAsia="en-GB"/>
              </w:rPr>
            </w:pPr>
            <w:r w:rsidRPr="00781D9A">
              <w:rPr>
                <w:rFonts w:ascii="Arial" w:eastAsia="Times New Roman" w:hAnsi="Arial" w:cs="Arial"/>
                <w:sz w:val="24"/>
                <w:szCs w:val="24"/>
                <w:lang w:eastAsia="en-GB"/>
              </w:rPr>
              <w:t> </w:t>
            </w:r>
          </w:p>
        </w:tc>
        <w:tc>
          <w:tcPr>
            <w:tcW w:w="1843" w:type="dxa"/>
          </w:tcPr>
          <w:p w:rsidR="00781D9A" w:rsidRPr="00781D9A" w:rsidRDefault="00781D9A" w:rsidP="00860011">
            <w:pPr>
              <w:rPr>
                <w:sz w:val="24"/>
                <w:szCs w:val="24"/>
              </w:rPr>
            </w:pPr>
            <w:r w:rsidRPr="00781D9A">
              <w:rPr>
                <w:sz w:val="24"/>
                <w:szCs w:val="24"/>
              </w:rPr>
              <w:t>£1,170,000</w:t>
            </w:r>
          </w:p>
        </w:tc>
      </w:tr>
      <w:tr w:rsidR="00781D9A" w:rsidTr="00860011">
        <w:tc>
          <w:tcPr>
            <w:tcW w:w="1696" w:type="dxa"/>
          </w:tcPr>
          <w:p w:rsidR="00781D9A" w:rsidRPr="00781D9A" w:rsidRDefault="00781D9A" w:rsidP="00860011">
            <w:pPr>
              <w:rPr>
                <w:sz w:val="24"/>
                <w:szCs w:val="24"/>
              </w:rPr>
            </w:pPr>
            <w:r w:rsidRPr="00781D9A">
              <w:rPr>
                <w:sz w:val="24"/>
                <w:szCs w:val="24"/>
              </w:rPr>
              <w:t>Risk High</w:t>
            </w:r>
          </w:p>
        </w:tc>
        <w:tc>
          <w:tcPr>
            <w:tcW w:w="1276" w:type="dxa"/>
            <w:tcBorders>
              <w:top w:val="single" w:sz="8" w:space="0" w:color="auto"/>
              <w:left w:val="single" w:sz="8" w:space="0" w:color="auto"/>
              <w:bottom w:val="nil"/>
              <w:right w:val="single" w:sz="4" w:space="0" w:color="auto"/>
            </w:tcBorders>
            <w:shd w:val="clear" w:color="000000" w:fill="FF0000"/>
            <w:vAlign w:val="bottom"/>
          </w:tcPr>
          <w:p w:rsidR="00781D9A" w:rsidRPr="00781D9A" w:rsidRDefault="00781D9A" w:rsidP="00860011">
            <w:pPr>
              <w:rPr>
                <w:rFonts w:ascii="Arial" w:eastAsia="Times New Roman" w:hAnsi="Arial" w:cs="Arial"/>
                <w:sz w:val="24"/>
                <w:szCs w:val="24"/>
                <w:lang w:eastAsia="en-GB"/>
              </w:rPr>
            </w:pPr>
            <w:r w:rsidRPr="00781D9A">
              <w:rPr>
                <w:rFonts w:ascii="Arial" w:eastAsia="Times New Roman" w:hAnsi="Arial" w:cs="Arial"/>
                <w:sz w:val="24"/>
                <w:szCs w:val="24"/>
                <w:lang w:eastAsia="en-GB"/>
              </w:rPr>
              <w:t> </w:t>
            </w:r>
          </w:p>
        </w:tc>
        <w:tc>
          <w:tcPr>
            <w:tcW w:w="1843" w:type="dxa"/>
          </w:tcPr>
          <w:p w:rsidR="00781D9A" w:rsidRPr="00781D9A" w:rsidRDefault="00781D9A" w:rsidP="00860011">
            <w:pPr>
              <w:rPr>
                <w:sz w:val="24"/>
                <w:szCs w:val="24"/>
              </w:rPr>
            </w:pPr>
            <w:r w:rsidRPr="00781D9A">
              <w:rPr>
                <w:sz w:val="24"/>
                <w:szCs w:val="24"/>
              </w:rPr>
              <w:t>£815,000</w:t>
            </w:r>
          </w:p>
        </w:tc>
      </w:tr>
      <w:tr w:rsidR="00781D9A" w:rsidTr="00860011">
        <w:tc>
          <w:tcPr>
            <w:tcW w:w="1696" w:type="dxa"/>
          </w:tcPr>
          <w:p w:rsidR="00781D9A" w:rsidRPr="00781D9A" w:rsidRDefault="00781D9A" w:rsidP="00860011">
            <w:pPr>
              <w:rPr>
                <w:b/>
                <w:sz w:val="24"/>
                <w:szCs w:val="24"/>
              </w:rPr>
            </w:pPr>
            <w:r w:rsidRPr="00781D9A">
              <w:rPr>
                <w:b/>
                <w:sz w:val="24"/>
                <w:szCs w:val="24"/>
              </w:rPr>
              <w:t>Total Risk</w:t>
            </w:r>
          </w:p>
        </w:tc>
        <w:tc>
          <w:tcPr>
            <w:tcW w:w="1276" w:type="dxa"/>
          </w:tcPr>
          <w:p w:rsidR="00781D9A" w:rsidRPr="00781D9A" w:rsidRDefault="00781D9A" w:rsidP="00860011">
            <w:pPr>
              <w:rPr>
                <w:sz w:val="24"/>
                <w:szCs w:val="24"/>
              </w:rPr>
            </w:pPr>
          </w:p>
        </w:tc>
        <w:tc>
          <w:tcPr>
            <w:tcW w:w="1843" w:type="dxa"/>
          </w:tcPr>
          <w:p w:rsidR="00781D9A" w:rsidRPr="00781D9A" w:rsidRDefault="00781D9A" w:rsidP="00860011">
            <w:pPr>
              <w:rPr>
                <w:b/>
                <w:sz w:val="24"/>
                <w:szCs w:val="24"/>
              </w:rPr>
            </w:pPr>
            <w:r w:rsidRPr="00781D9A">
              <w:rPr>
                <w:b/>
                <w:sz w:val="24"/>
                <w:szCs w:val="24"/>
              </w:rPr>
              <w:t>£3,962,500</w:t>
            </w:r>
          </w:p>
        </w:tc>
      </w:tr>
    </w:tbl>
    <w:tbl>
      <w:tblPr>
        <w:tblW w:w="14137" w:type="dxa"/>
        <w:tblLayout w:type="fixed"/>
        <w:tblLook w:val="04A0" w:firstRow="1" w:lastRow="0" w:firstColumn="1" w:lastColumn="0" w:noHBand="0" w:noVBand="1"/>
      </w:tblPr>
      <w:tblGrid>
        <w:gridCol w:w="709"/>
        <w:gridCol w:w="709"/>
        <w:gridCol w:w="1134"/>
        <w:gridCol w:w="1276"/>
        <w:gridCol w:w="850"/>
        <w:gridCol w:w="1276"/>
        <w:gridCol w:w="2268"/>
        <w:gridCol w:w="851"/>
        <w:gridCol w:w="2693"/>
        <w:gridCol w:w="850"/>
        <w:gridCol w:w="709"/>
        <w:gridCol w:w="812"/>
      </w:tblGrid>
      <w:tr w:rsidR="000E5829" w:rsidRPr="00B75D2A" w:rsidTr="004A0565">
        <w:trPr>
          <w:trHeight w:val="390"/>
        </w:trPr>
        <w:tc>
          <w:tcPr>
            <w:tcW w:w="709" w:type="dxa"/>
            <w:tcBorders>
              <w:top w:val="nil"/>
              <w:left w:val="nil"/>
              <w:bottom w:val="nil"/>
              <w:right w:val="nil"/>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sz w:val="20"/>
                <w:szCs w:val="20"/>
                <w:lang w:eastAsia="en-GB"/>
              </w:rPr>
            </w:pPr>
            <w:r w:rsidRPr="00B75D2A">
              <w:rPr>
                <w:rFonts w:ascii="Arial" w:eastAsia="Times New Roman" w:hAnsi="Arial" w:cs="Arial"/>
                <w:sz w:val="20"/>
                <w:szCs w:val="20"/>
                <w:lang w:eastAsia="en-GB"/>
              </w:rPr>
              <w:t> </w:t>
            </w:r>
          </w:p>
        </w:tc>
        <w:tc>
          <w:tcPr>
            <w:tcW w:w="709" w:type="dxa"/>
            <w:tcBorders>
              <w:top w:val="nil"/>
              <w:left w:val="nil"/>
              <w:bottom w:val="nil"/>
              <w:right w:val="nil"/>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sz w:val="20"/>
                <w:szCs w:val="20"/>
                <w:lang w:eastAsia="en-GB"/>
              </w:rPr>
            </w:pPr>
            <w:r w:rsidRPr="00B75D2A">
              <w:rPr>
                <w:rFonts w:ascii="Arial" w:eastAsia="Times New Roman" w:hAnsi="Arial" w:cs="Arial"/>
                <w:sz w:val="20"/>
                <w:szCs w:val="20"/>
                <w:lang w:eastAsia="en-GB"/>
              </w:rPr>
              <w:t> </w:t>
            </w:r>
          </w:p>
        </w:tc>
        <w:tc>
          <w:tcPr>
            <w:tcW w:w="1134" w:type="dxa"/>
            <w:tcBorders>
              <w:top w:val="nil"/>
              <w:left w:val="nil"/>
              <w:bottom w:val="nil"/>
              <w:right w:val="nil"/>
            </w:tcBorders>
            <w:shd w:val="clear" w:color="000000" w:fill="FFFFFF"/>
            <w:noWrap/>
            <w:vAlign w:val="center"/>
            <w:hideMark/>
          </w:tcPr>
          <w:p w:rsidR="00D47FB9"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p w:rsidR="00781D9A" w:rsidRDefault="00781D9A" w:rsidP="00860011">
            <w:pPr>
              <w:spacing w:after="0" w:line="240" w:lineRule="auto"/>
              <w:jc w:val="center"/>
              <w:rPr>
                <w:rFonts w:ascii="Arial" w:eastAsia="Times New Roman" w:hAnsi="Arial" w:cs="Arial"/>
                <w:b/>
                <w:bCs/>
                <w:sz w:val="20"/>
                <w:szCs w:val="20"/>
                <w:lang w:eastAsia="en-GB"/>
              </w:rPr>
            </w:pPr>
          </w:p>
          <w:p w:rsidR="00781D9A" w:rsidRPr="00B75D2A" w:rsidRDefault="00781D9A" w:rsidP="00860011">
            <w:pPr>
              <w:spacing w:after="0" w:line="240" w:lineRule="auto"/>
              <w:jc w:val="center"/>
              <w:rPr>
                <w:rFonts w:ascii="Arial" w:eastAsia="Times New Roman" w:hAnsi="Arial" w:cs="Arial"/>
                <w:b/>
                <w:bCs/>
                <w:sz w:val="20"/>
                <w:szCs w:val="20"/>
                <w:lang w:eastAsia="en-GB"/>
              </w:rPr>
            </w:pPr>
          </w:p>
        </w:tc>
        <w:tc>
          <w:tcPr>
            <w:tcW w:w="1276" w:type="dxa"/>
            <w:tcBorders>
              <w:top w:val="nil"/>
              <w:left w:val="nil"/>
              <w:bottom w:val="nil"/>
              <w:right w:val="nil"/>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lastRenderedPageBreak/>
              <w:t> </w:t>
            </w:r>
          </w:p>
        </w:tc>
        <w:tc>
          <w:tcPr>
            <w:tcW w:w="850" w:type="dxa"/>
            <w:tcBorders>
              <w:top w:val="nil"/>
              <w:left w:val="nil"/>
              <w:bottom w:val="nil"/>
              <w:right w:val="nil"/>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1276" w:type="dxa"/>
            <w:tcBorders>
              <w:top w:val="nil"/>
              <w:left w:val="nil"/>
              <w:bottom w:val="nil"/>
              <w:right w:val="nil"/>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2268" w:type="dxa"/>
            <w:tcBorders>
              <w:top w:val="nil"/>
              <w:left w:val="nil"/>
              <w:bottom w:val="nil"/>
              <w:right w:val="nil"/>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851" w:type="dxa"/>
            <w:tcBorders>
              <w:top w:val="nil"/>
              <w:left w:val="nil"/>
              <w:bottom w:val="nil"/>
              <w:right w:val="nil"/>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2693" w:type="dxa"/>
            <w:tcBorders>
              <w:top w:val="nil"/>
              <w:left w:val="nil"/>
              <w:bottom w:val="nil"/>
              <w:right w:val="nil"/>
            </w:tcBorders>
            <w:shd w:val="clear" w:color="000000" w:fill="FFFFFF"/>
            <w:noWrap/>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0" w:type="dxa"/>
            <w:tcBorders>
              <w:top w:val="nil"/>
              <w:left w:val="nil"/>
              <w:bottom w:val="nil"/>
              <w:right w:val="nil"/>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nil"/>
              <w:right w:val="nil"/>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nil"/>
              <w:right w:val="nil"/>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D47FB9" w:rsidRPr="00B75D2A" w:rsidTr="004A0565">
        <w:trPr>
          <w:trHeight w:val="416"/>
        </w:trPr>
        <w:tc>
          <w:tcPr>
            <w:tcW w:w="3828"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E5829" w:rsidRPr="00B75D2A" w:rsidRDefault="00D47FB9" w:rsidP="000E5829">
            <w:pPr>
              <w:spacing w:after="0" w:line="240" w:lineRule="auto"/>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Risk</w:t>
            </w:r>
          </w:p>
        </w:tc>
        <w:tc>
          <w:tcPr>
            <w:tcW w:w="5245"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0E5829" w:rsidRPr="00B75D2A" w:rsidRDefault="00D47FB9" w:rsidP="000E5829">
            <w:pPr>
              <w:spacing w:after="0" w:line="240" w:lineRule="auto"/>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Initial Risk Impact</w:t>
            </w:r>
          </w:p>
        </w:tc>
        <w:tc>
          <w:tcPr>
            <w:tcW w:w="2693" w:type="dxa"/>
            <w:tcBorders>
              <w:top w:val="single" w:sz="4" w:space="0" w:color="auto"/>
              <w:left w:val="nil"/>
              <w:bottom w:val="single" w:sz="4" w:space="0" w:color="auto"/>
              <w:right w:val="single" w:sz="4" w:space="0" w:color="auto"/>
            </w:tcBorders>
            <w:shd w:val="clear" w:color="000000" w:fill="D9D9D9"/>
            <w:noWrap/>
            <w:hideMark/>
          </w:tcPr>
          <w:p w:rsidR="000E5829" w:rsidRPr="00B75D2A" w:rsidRDefault="00D47FB9" w:rsidP="000E5829">
            <w:pPr>
              <w:spacing w:after="0" w:line="240" w:lineRule="auto"/>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Mitigation</w:t>
            </w:r>
          </w:p>
        </w:tc>
        <w:tc>
          <w:tcPr>
            <w:tcW w:w="2371"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0E5829" w:rsidRPr="00B75D2A" w:rsidRDefault="00D47FB9" w:rsidP="000E5829">
            <w:pPr>
              <w:spacing w:after="0" w:line="240" w:lineRule="auto"/>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Mitigated  Risk</w:t>
            </w:r>
          </w:p>
        </w:tc>
      </w:tr>
      <w:tr w:rsidR="000E5829" w:rsidRPr="00B75D2A" w:rsidTr="004A0565">
        <w:trPr>
          <w:trHeight w:val="691"/>
        </w:trPr>
        <w:tc>
          <w:tcPr>
            <w:tcW w:w="709" w:type="dxa"/>
            <w:tcBorders>
              <w:top w:val="nil"/>
              <w:left w:val="single" w:sz="4" w:space="0" w:color="auto"/>
              <w:bottom w:val="single" w:sz="4" w:space="0" w:color="auto"/>
              <w:right w:val="single" w:sz="4" w:space="0" w:color="auto"/>
            </w:tcBorders>
            <w:shd w:val="clear" w:color="000000" w:fill="D9D9D9"/>
            <w:hideMark/>
          </w:tcPr>
          <w:p w:rsidR="00D47FB9" w:rsidRPr="000E5829" w:rsidRDefault="00D47FB9" w:rsidP="00860011">
            <w:pPr>
              <w:spacing w:after="0" w:line="240" w:lineRule="auto"/>
              <w:jc w:val="center"/>
              <w:rPr>
                <w:rFonts w:ascii="Arial" w:eastAsia="Times New Roman" w:hAnsi="Arial" w:cs="Arial"/>
                <w:b/>
                <w:bCs/>
                <w:sz w:val="20"/>
                <w:szCs w:val="20"/>
                <w:lang w:eastAsia="en-GB"/>
              </w:rPr>
            </w:pPr>
            <w:r w:rsidRPr="000E5829">
              <w:rPr>
                <w:rFonts w:ascii="Arial" w:eastAsia="Times New Roman" w:hAnsi="Arial" w:cs="Arial"/>
                <w:b/>
                <w:bCs/>
                <w:sz w:val="20"/>
                <w:szCs w:val="20"/>
                <w:lang w:eastAsia="en-GB"/>
              </w:rPr>
              <w:t>Risk ID</w:t>
            </w:r>
          </w:p>
        </w:tc>
        <w:tc>
          <w:tcPr>
            <w:tcW w:w="709" w:type="dxa"/>
            <w:tcBorders>
              <w:top w:val="nil"/>
              <w:left w:val="nil"/>
              <w:bottom w:val="single" w:sz="4" w:space="0" w:color="auto"/>
              <w:right w:val="single" w:sz="4" w:space="0" w:color="auto"/>
            </w:tcBorders>
            <w:shd w:val="clear" w:color="000000" w:fill="D9D9D9"/>
            <w:hideMark/>
          </w:tcPr>
          <w:p w:rsidR="00D47FB9" w:rsidRPr="000E5829" w:rsidRDefault="00D47FB9" w:rsidP="00860011">
            <w:pPr>
              <w:spacing w:after="0" w:line="240" w:lineRule="auto"/>
              <w:jc w:val="center"/>
              <w:rPr>
                <w:rFonts w:ascii="Arial" w:eastAsia="Times New Roman" w:hAnsi="Arial" w:cs="Arial"/>
                <w:b/>
                <w:bCs/>
                <w:sz w:val="20"/>
                <w:szCs w:val="20"/>
                <w:lang w:eastAsia="en-GB"/>
              </w:rPr>
            </w:pPr>
            <w:r w:rsidRPr="000E5829">
              <w:rPr>
                <w:rFonts w:ascii="Arial" w:eastAsia="Times New Roman" w:hAnsi="Arial" w:cs="Arial"/>
                <w:b/>
                <w:bCs/>
                <w:sz w:val="20"/>
                <w:szCs w:val="20"/>
                <w:lang w:eastAsia="en-GB"/>
              </w:rPr>
              <w:t>Date</w:t>
            </w:r>
          </w:p>
        </w:tc>
        <w:tc>
          <w:tcPr>
            <w:tcW w:w="2410" w:type="dxa"/>
            <w:gridSpan w:val="2"/>
            <w:tcBorders>
              <w:top w:val="single" w:sz="4" w:space="0" w:color="auto"/>
              <w:left w:val="nil"/>
              <w:bottom w:val="single" w:sz="4" w:space="0" w:color="auto"/>
              <w:right w:val="single" w:sz="4" w:space="0" w:color="000000"/>
            </w:tcBorders>
            <w:shd w:val="clear" w:color="000000" w:fill="D9D9D9"/>
            <w:hideMark/>
          </w:tcPr>
          <w:p w:rsidR="00D47FB9" w:rsidRPr="000E5829" w:rsidRDefault="00D47FB9" w:rsidP="00860011">
            <w:pPr>
              <w:spacing w:after="0" w:line="240" w:lineRule="auto"/>
              <w:jc w:val="center"/>
              <w:rPr>
                <w:rFonts w:ascii="Arial" w:eastAsia="Times New Roman" w:hAnsi="Arial" w:cs="Arial"/>
                <w:b/>
                <w:bCs/>
                <w:sz w:val="20"/>
                <w:szCs w:val="20"/>
                <w:lang w:eastAsia="en-GB"/>
              </w:rPr>
            </w:pPr>
            <w:r w:rsidRPr="000E5829">
              <w:rPr>
                <w:rFonts w:ascii="Arial" w:eastAsia="Times New Roman" w:hAnsi="Arial" w:cs="Arial"/>
                <w:b/>
                <w:bCs/>
                <w:sz w:val="20"/>
                <w:szCs w:val="20"/>
                <w:lang w:eastAsia="en-GB"/>
              </w:rPr>
              <w:t>Description</w:t>
            </w:r>
          </w:p>
        </w:tc>
        <w:tc>
          <w:tcPr>
            <w:tcW w:w="850" w:type="dxa"/>
            <w:tcBorders>
              <w:top w:val="nil"/>
              <w:left w:val="nil"/>
              <w:bottom w:val="single" w:sz="4" w:space="0" w:color="auto"/>
              <w:right w:val="single" w:sz="4" w:space="0" w:color="auto"/>
            </w:tcBorders>
            <w:shd w:val="clear" w:color="000000" w:fill="D9D9D9"/>
            <w:hideMark/>
          </w:tcPr>
          <w:p w:rsidR="00D47FB9" w:rsidRPr="004A0565" w:rsidRDefault="00D47FB9" w:rsidP="00860011">
            <w:pPr>
              <w:spacing w:after="0" w:line="240" w:lineRule="auto"/>
              <w:jc w:val="center"/>
              <w:rPr>
                <w:rFonts w:ascii="Arial" w:eastAsia="Times New Roman" w:hAnsi="Arial" w:cs="Arial"/>
                <w:b/>
                <w:bCs/>
                <w:sz w:val="18"/>
                <w:szCs w:val="18"/>
                <w:lang w:eastAsia="en-GB"/>
              </w:rPr>
            </w:pPr>
            <w:r w:rsidRPr="004A0565">
              <w:rPr>
                <w:rFonts w:ascii="Arial" w:eastAsia="Times New Roman" w:hAnsi="Arial" w:cs="Arial"/>
                <w:b/>
                <w:bCs/>
                <w:sz w:val="18"/>
                <w:szCs w:val="18"/>
                <w:lang w:eastAsia="en-GB"/>
              </w:rPr>
              <w:t>Prob./ Impact</w:t>
            </w:r>
          </w:p>
        </w:tc>
        <w:tc>
          <w:tcPr>
            <w:tcW w:w="1276" w:type="dxa"/>
            <w:tcBorders>
              <w:top w:val="nil"/>
              <w:left w:val="nil"/>
              <w:bottom w:val="single" w:sz="4" w:space="0" w:color="auto"/>
              <w:right w:val="single" w:sz="4" w:space="0" w:color="auto"/>
            </w:tcBorders>
            <w:shd w:val="clear" w:color="000000" w:fill="D9D9D9"/>
            <w:hideMark/>
          </w:tcPr>
          <w:p w:rsidR="00D47FB9" w:rsidRPr="000E5829" w:rsidRDefault="00D47FB9" w:rsidP="00860011">
            <w:pPr>
              <w:spacing w:after="0" w:line="240" w:lineRule="auto"/>
              <w:jc w:val="center"/>
              <w:rPr>
                <w:rFonts w:ascii="Arial" w:eastAsia="Times New Roman" w:hAnsi="Arial" w:cs="Arial"/>
                <w:b/>
                <w:bCs/>
                <w:sz w:val="20"/>
                <w:szCs w:val="20"/>
                <w:lang w:eastAsia="en-GB"/>
              </w:rPr>
            </w:pPr>
            <w:r w:rsidRPr="000E5829">
              <w:rPr>
                <w:rFonts w:ascii="Arial" w:eastAsia="Times New Roman" w:hAnsi="Arial" w:cs="Arial"/>
                <w:b/>
                <w:bCs/>
                <w:sz w:val="20"/>
                <w:szCs w:val="20"/>
                <w:lang w:eastAsia="en-GB"/>
              </w:rPr>
              <w:t>Cost Impact</w:t>
            </w:r>
          </w:p>
        </w:tc>
        <w:tc>
          <w:tcPr>
            <w:tcW w:w="2268" w:type="dxa"/>
            <w:tcBorders>
              <w:top w:val="nil"/>
              <w:left w:val="nil"/>
              <w:bottom w:val="single" w:sz="4" w:space="0" w:color="auto"/>
              <w:right w:val="single" w:sz="4" w:space="0" w:color="auto"/>
            </w:tcBorders>
            <w:shd w:val="clear" w:color="000000" w:fill="D9D9D9"/>
            <w:hideMark/>
          </w:tcPr>
          <w:p w:rsidR="00D47FB9" w:rsidRPr="000E5829" w:rsidRDefault="00D47FB9" w:rsidP="00860011">
            <w:pPr>
              <w:spacing w:after="0" w:line="240" w:lineRule="auto"/>
              <w:jc w:val="center"/>
              <w:rPr>
                <w:rFonts w:ascii="Arial" w:eastAsia="Times New Roman" w:hAnsi="Arial" w:cs="Arial"/>
                <w:b/>
                <w:bCs/>
                <w:sz w:val="20"/>
                <w:szCs w:val="20"/>
                <w:lang w:eastAsia="en-GB"/>
              </w:rPr>
            </w:pPr>
            <w:r w:rsidRPr="000E5829">
              <w:rPr>
                <w:rFonts w:ascii="Arial" w:eastAsia="Times New Roman" w:hAnsi="Arial" w:cs="Arial"/>
                <w:b/>
                <w:bCs/>
                <w:sz w:val="20"/>
                <w:szCs w:val="20"/>
                <w:lang w:eastAsia="en-GB"/>
              </w:rPr>
              <w:t>Prog</w:t>
            </w:r>
            <w:r w:rsidR="00C575BE">
              <w:rPr>
                <w:rFonts w:ascii="Arial" w:eastAsia="Times New Roman" w:hAnsi="Arial" w:cs="Arial"/>
                <w:b/>
                <w:bCs/>
                <w:sz w:val="20"/>
                <w:szCs w:val="20"/>
                <w:lang w:eastAsia="en-GB"/>
              </w:rPr>
              <w:t>ramme</w:t>
            </w:r>
            <w:r w:rsidRPr="000E5829">
              <w:rPr>
                <w:rFonts w:ascii="Arial" w:eastAsia="Times New Roman" w:hAnsi="Arial" w:cs="Arial"/>
                <w:b/>
                <w:bCs/>
                <w:sz w:val="20"/>
                <w:szCs w:val="20"/>
                <w:lang w:eastAsia="en-GB"/>
              </w:rPr>
              <w:t xml:space="preserve"> Impact</w:t>
            </w:r>
          </w:p>
        </w:tc>
        <w:tc>
          <w:tcPr>
            <w:tcW w:w="851" w:type="dxa"/>
            <w:tcBorders>
              <w:top w:val="nil"/>
              <w:left w:val="nil"/>
              <w:bottom w:val="single" w:sz="4" w:space="0" w:color="auto"/>
              <w:right w:val="single" w:sz="4" w:space="0" w:color="auto"/>
            </w:tcBorders>
            <w:shd w:val="clear" w:color="000000" w:fill="D9D9D9"/>
            <w:hideMark/>
          </w:tcPr>
          <w:p w:rsidR="00D47FB9" w:rsidRPr="000E5829" w:rsidRDefault="00D47FB9" w:rsidP="00860011">
            <w:pPr>
              <w:spacing w:after="0" w:line="240" w:lineRule="auto"/>
              <w:jc w:val="center"/>
              <w:rPr>
                <w:rFonts w:ascii="Arial" w:eastAsia="Times New Roman" w:hAnsi="Arial" w:cs="Arial"/>
                <w:b/>
                <w:bCs/>
                <w:sz w:val="20"/>
                <w:szCs w:val="20"/>
                <w:lang w:eastAsia="en-GB"/>
              </w:rPr>
            </w:pPr>
            <w:r w:rsidRPr="000E5829">
              <w:rPr>
                <w:rFonts w:ascii="Arial" w:eastAsia="Times New Roman" w:hAnsi="Arial" w:cs="Arial"/>
                <w:b/>
                <w:bCs/>
                <w:sz w:val="20"/>
                <w:szCs w:val="20"/>
                <w:lang w:eastAsia="en-GB"/>
              </w:rPr>
              <w:t>Owner Action</w:t>
            </w:r>
          </w:p>
        </w:tc>
        <w:tc>
          <w:tcPr>
            <w:tcW w:w="2693" w:type="dxa"/>
            <w:tcBorders>
              <w:top w:val="nil"/>
              <w:left w:val="nil"/>
              <w:bottom w:val="single" w:sz="4" w:space="0" w:color="auto"/>
              <w:right w:val="single" w:sz="4" w:space="0" w:color="auto"/>
            </w:tcBorders>
            <w:shd w:val="clear" w:color="000000" w:fill="D9D9D9"/>
            <w:hideMark/>
          </w:tcPr>
          <w:p w:rsidR="000E5829" w:rsidRDefault="00D47FB9" w:rsidP="00860011">
            <w:pPr>
              <w:spacing w:after="0" w:line="240" w:lineRule="auto"/>
              <w:jc w:val="center"/>
              <w:rPr>
                <w:rFonts w:ascii="Arial" w:eastAsia="Times New Roman" w:hAnsi="Arial" w:cs="Arial"/>
                <w:b/>
                <w:bCs/>
                <w:color w:val="000000"/>
                <w:sz w:val="20"/>
                <w:szCs w:val="20"/>
                <w:lang w:eastAsia="en-GB"/>
              </w:rPr>
            </w:pPr>
            <w:r w:rsidRPr="000E5829">
              <w:rPr>
                <w:rFonts w:ascii="Arial" w:eastAsia="Times New Roman" w:hAnsi="Arial" w:cs="Arial"/>
                <w:b/>
                <w:bCs/>
                <w:color w:val="000000"/>
                <w:sz w:val="20"/>
                <w:szCs w:val="20"/>
                <w:lang w:eastAsia="en-GB"/>
              </w:rPr>
              <w:t>Action/</w:t>
            </w:r>
          </w:p>
          <w:p w:rsidR="000E5829" w:rsidRDefault="00D47FB9" w:rsidP="00860011">
            <w:pPr>
              <w:spacing w:after="0" w:line="240" w:lineRule="auto"/>
              <w:jc w:val="center"/>
              <w:rPr>
                <w:rFonts w:ascii="Arial" w:eastAsia="Times New Roman" w:hAnsi="Arial" w:cs="Arial"/>
                <w:b/>
                <w:bCs/>
                <w:color w:val="000000"/>
                <w:sz w:val="20"/>
                <w:szCs w:val="20"/>
                <w:lang w:eastAsia="en-GB"/>
              </w:rPr>
            </w:pPr>
            <w:r w:rsidRPr="000E5829">
              <w:rPr>
                <w:rFonts w:ascii="Arial" w:eastAsia="Times New Roman" w:hAnsi="Arial" w:cs="Arial"/>
                <w:b/>
                <w:bCs/>
                <w:color w:val="000000"/>
                <w:sz w:val="20"/>
                <w:szCs w:val="20"/>
                <w:lang w:eastAsia="en-GB"/>
              </w:rPr>
              <w:t>Mitigation/</w:t>
            </w:r>
          </w:p>
          <w:p w:rsidR="00D47FB9" w:rsidRPr="000E5829" w:rsidRDefault="00D47FB9" w:rsidP="00860011">
            <w:pPr>
              <w:spacing w:after="0" w:line="240" w:lineRule="auto"/>
              <w:jc w:val="center"/>
              <w:rPr>
                <w:rFonts w:ascii="Arial" w:eastAsia="Times New Roman" w:hAnsi="Arial" w:cs="Arial"/>
                <w:b/>
                <w:bCs/>
                <w:color w:val="000000"/>
                <w:sz w:val="20"/>
                <w:szCs w:val="20"/>
                <w:lang w:eastAsia="en-GB"/>
              </w:rPr>
            </w:pPr>
            <w:r w:rsidRPr="000E5829">
              <w:rPr>
                <w:rFonts w:ascii="Arial" w:eastAsia="Times New Roman" w:hAnsi="Arial" w:cs="Arial"/>
                <w:b/>
                <w:bCs/>
                <w:color w:val="000000"/>
                <w:sz w:val="20"/>
                <w:szCs w:val="20"/>
                <w:lang w:eastAsia="en-GB"/>
              </w:rPr>
              <w:t>Progress</w:t>
            </w:r>
          </w:p>
        </w:tc>
        <w:tc>
          <w:tcPr>
            <w:tcW w:w="850" w:type="dxa"/>
            <w:tcBorders>
              <w:top w:val="nil"/>
              <w:left w:val="nil"/>
              <w:bottom w:val="single" w:sz="4" w:space="0" w:color="auto"/>
              <w:right w:val="single" w:sz="4" w:space="0" w:color="auto"/>
            </w:tcBorders>
            <w:shd w:val="clear" w:color="000000" w:fill="D9D9D9"/>
            <w:hideMark/>
          </w:tcPr>
          <w:p w:rsidR="00D47FB9" w:rsidRPr="000E5829" w:rsidRDefault="00D47FB9" w:rsidP="00860011">
            <w:pPr>
              <w:spacing w:after="0" w:line="240" w:lineRule="auto"/>
              <w:jc w:val="center"/>
              <w:rPr>
                <w:rFonts w:ascii="Arial" w:eastAsia="Times New Roman" w:hAnsi="Arial" w:cs="Arial"/>
                <w:b/>
                <w:bCs/>
                <w:color w:val="000000"/>
                <w:sz w:val="20"/>
                <w:szCs w:val="20"/>
                <w:lang w:eastAsia="en-GB"/>
              </w:rPr>
            </w:pPr>
            <w:r w:rsidRPr="000E5829">
              <w:rPr>
                <w:rFonts w:ascii="Arial" w:eastAsia="Times New Roman" w:hAnsi="Arial" w:cs="Arial"/>
                <w:b/>
                <w:bCs/>
                <w:color w:val="000000"/>
                <w:sz w:val="20"/>
                <w:szCs w:val="20"/>
                <w:lang w:eastAsia="en-GB"/>
              </w:rPr>
              <w:t>Prob.</w:t>
            </w:r>
          </w:p>
        </w:tc>
        <w:tc>
          <w:tcPr>
            <w:tcW w:w="709" w:type="dxa"/>
            <w:tcBorders>
              <w:top w:val="nil"/>
              <w:left w:val="nil"/>
              <w:bottom w:val="single" w:sz="4" w:space="0" w:color="auto"/>
              <w:right w:val="single" w:sz="4" w:space="0" w:color="auto"/>
            </w:tcBorders>
            <w:shd w:val="clear" w:color="000000" w:fill="D9D9D9"/>
            <w:hideMark/>
          </w:tcPr>
          <w:p w:rsidR="00D47FB9" w:rsidRPr="000E5829" w:rsidRDefault="00D47FB9" w:rsidP="00860011">
            <w:pPr>
              <w:spacing w:after="0" w:line="240" w:lineRule="auto"/>
              <w:jc w:val="center"/>
              <w:rPr>
                <w:rFonts w:ascii="Arial" w:eastAsia="Times New Roman" w:hAnsi="Arial" w:cs="Arial"/>
                <w:b/>
                <w:bCs/>
                <w:color w:val="000000"/>
                <w:sz w:val="20"/>
                <w:szCs w:val="20"/>
                <w:lang w:eastAsia="en-GB"/>
              </w:rPr>
            </w:pPr>
            <w:r w:rsidRPr="000E5829">
              <w:rPr>
                <w:rFonts w:ascii="Arial" w:eastAsia="Times New Roman" w:hAnsi="Arial" w:cs="Arial"/>
                <w:b/>
                <w:bCs/>
                <w:color w:val="000000"/>
                <w:sz w:val="20"/>
                <w:szCs w:val="20"/>
                <w:lang w:eastAsia="en-GB"/>
              </w:rPr>
              <w:t>Cost</w:t>
            </w:r>
          </w:p>
        </w:tc>
        <w:tc>
          <w:tcPr>
            <w:tcW w:w="812" w:type="dxa"/>
            <w:tcBorders>
              <w:top w:val="nil"/>
              <w:left w:val="nil"/>
              <w:bottom w:val="single" w:sz="4" w:space="0" w:color="auto"/>
              <w:right w:val="single" w:sz="4" w:space="0" w:color="auto"/>
            </w:tcBorders>
            <w:shd w:val="clear" w:color="000000" w:fill="D9D9D9"/>
            <w:hideMark/>
          </w:tcPr>
          <w:p w:rsidR="00D47FB9" w:rsidRPr="000E5829" w:rsidRDefault="00D47FB9" w:rsidP="00860011">
            <w:pPr>
              <w:spacing w:after="0" w:line="240" w:lineRule="auto"/>
              <w:jc w:val="center"/>
              <w:rPr>
                <w:rFonts w:ascii="Arial" w:eastAsia="Times New Roman" w:hAnsi="Arial" w:cs="Arial"/>
                <w:b/>
                <w:bCs/>
                <w:color w:val="000000"/>
                <w:sz w:val="20"/>
                <w:szCs w:val="20"/>
                <w:lang w:eastAsia="en-GB"/>
              </w:rPr>
            </w:pPr>
            <w:r w:rsidRPr="000E5829">
              <w:rPr>
                <w:rFonts w:ascii="Arial" w:eastAsia="Times New Roman" w:hAnsi="Arial" w:cs="Arial"/>
                <w:b/>
                <w:bCs/>
                <w:color w:val="000000"/>
                <w:sz w:val="20"/>
                <w:szCs w:val="20"/>
                <w:lang w:eastAsia="en-GB"/>
              </w:rPr>
              <w:t>Time</w:t>
            </w:r>
          </w:p>
        </w:tc>
      </w:tr>
      <w:tr w:rsidR="000E5829" w:rsidRPr="00B75D2A" w:rsidTr="004A0565">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1</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410" w:type="dxa"/>
            <w:gridSpan w:val="2"/>
            <w:tcBorders>
              <w:top w:val="single" w:sz="4" w:space="0" w:color="auto"/>
              <w:left w:val="nil"/>
              <w:bottom w:val="single" w:sz="4" w:space="0" w:color="auto"/>
              <w:right w:val="single" w:sz="4" w:space="0" w:color="000000"/>
            </w:tcBorders>
            <w:shd w:val="clear" w:color="000000" w:fill="FFFFFF"/>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Delays in agreeing solution with HE on gantries and its cost</w:t>
            </w:r>
          </w:p>
        </w:tc>
        <w:tc>
          <w:tcPr>
            <w:tcW w:w="850" w:type="dxa"/>
            <w:tcBorders>
              <w:top w:val="single" w:sz="4" w:space="0" w:color="auto"/>
              <w:left w:val="single" w:sz="4" w:space="0" w:color="auto"/>
              <w:bottom w:val="single" w:sz="4" w:space="0" w:color="auto"/>
              <w:right w:val="single" w:sz="8"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10</w:t>
            </w:r>
          </w:p>
        </w:tc>
        <w:tc>
          <w:tcPr>
            <w:tcW w:w="1276" w:type="dxa"/>
            <w:tcBorders>
              <w:top w:val="nil"/>
              <w:left w:val="single" w:sz="4" w:space="0" w:color="auto"/>
              <w:bottom w:val="single" w:sz="4" w:space="0" w:color="auto"/>
              <w:right w:val="single" w:sz="4" w:space="0" w:color="auto"/>
            </w:tcBorders>
            <w:shd w:val="clear" w:color="000000" w:fill="FFFFFF"/>
            <w:hideMark/>
          </w:tcPr>
          <w:p w:rsidR="00D47FB9" w:rsidRPr="00B75D2A" w:rsidRDefault="00D47FB9" w:rsidP="004A0565">
            <w:pPr>
              <w:spacing w:after="0" w:line="240" w:lineRule="auto"/>
              <w:jc w:val="center"/>
              <w:rPr>
                <w:rFonts w:ascii="Arial" w:eastAsia="Times New Roman" w:hAnsi="Arial" w:cs="Arial"/>
                <w:sz w:val="18"/>
                <w:szCs w:val="18"/>
                <w:lang w:eastAsia="en-GB"/>
              </w:rPr>
            </w:pP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Delays start</w:t>
            </w:r>
          </w:p>
        </w:tc>
        <w:tc>
          <w:tcPr>
            <w:tcW w:w="851"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xml:space="preserve">Update programme. The cost estimate retains existing </w:t>
            </w:r>
            <w:proofErr w:type="spellStart"/>
            <w:r w:rsidRPr="00B75D2A">
              <w:rPr>
                <w:rFonts w:ascii="Arial" w:eastAsia="Times New Roman" w:hAnsi="Arial" w:cs="Arial"/>
                <w:color w:val="000000"/>
                <w:sz w:val="20"/>
                <w:szCs w:val="20"/>
                <w:lang w:eastAsia="en-GB"/>
              </w:rPr>
              <w:t>gantrys</w:t>
            </w:r>
            <w:proofErr w:type="spellEnd"/>
            <w:r w:rsidRPr="00B75D2A">
              <w:rPr>
                <w:rFonts w:ascii="Arial" w:eastAsia="Times New Roman" w:hAnsi="Arial" w:cs="Arial"/>
                <w:color w:val="000000"/>
                <w:sz w:val="20"/>
                <w:szCs w:val="20"/>
                <w:lang w:eastAsia="en-GB"/>
              </w:rPr>
              <w:t xml:space="preserve"> and includes an additional 44%</w:t>
            </w:r>
          </w:p>
        </w:tc>
        <w:tc>
          <w:tcPr>
            <w:tcW w:w="850"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812"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r>
      <w:tr w:rsidR="000E5829" w:rsidRPr="00B75D2A" w:rsidTr="004A0565">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2</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410" w:type="dxa"/>
            <w:gridSpan w:val="2"/>
            <w:tcBorders>
              <w:top w:val="single" w:sz="4" w:space="0" w:color="auto"/>
              <w:left w:val="nil"/>
              <w:bottom w:val="single" w:sz="4" w:space="0" w:color="auto"/>
              <w:right w:val="single" w:sz="4" w:space="0" w:color="000000"/>
            </w:tcBorders>
            <w:shd w:val="clear" w:color="000000" w:fill="FFFFFF"/>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 xml:space="preserve">Delays in receiving the consents for structures </w:t>
            </w:r>
          </w:p>
        </w:tc>
        <w:tc>
          <w:tcPr>
            <w:tcW w:w="850" w:type="dxa"/>
            <w:tcBorders>
              <w:top w:val="nil"/>
              <w:left w:val="single" w:sz="8" w:space="0" w:color="auto"/>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2</w:t>
            </w:r>
          </w:p>
        </w:tc>
        <w:tc>
          <w:tcPr>
            <w:tcW w:w="1276" w:type="dxa"/>
            <w:tcBorders>
              <w:top w:val="nil"/>
              <w:left w:val="single" w:sz="4" w:space="0" w:color="auto"/>
              <w:bottom w:val="single" w:sz="4" w:space="0" w:color="auto"/>
              <w:right w:val="single" w:sz="4" w:space="0" w:color="auto"/>
            </w:tcBorders>
            <w:shd w:val="clear" w:color="000000" w:fill="FFFFFF"/>
            <w:hideMark/>
          </w:tcPr>
          <w:p w:rsidR="00D47FB9" w:rsidRPr="00B75D2A" w:rsidRDefault="00D47FB9" w:rsidP="004A0565">
            <w:pPr>
              <w:spacing w:after="0" w:line="240" w:lineRule="auto"/>
              <w:jc w:val="center"/>
              <w:rPr>
                <w:rFonts w:ascii="Arial" w:eastAsia="Times New Roman" w:hAnsi="Arial" w:cs="Arial"/>
                <w:sz w:val="18"/>
                <w:szCs w:val="18"/>
                <w:lang w:eastAsia="en-GB"/>
              </w:rPr>
            </w:pP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Delays start</w:t>
            </w:r>
          </w:p>
        </w:tc>
        <w:tc>
          <w:tcPr>
            <w:tcW w:w="851"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xml:space="preserve">Update programme </w:t>
            </w:r>
          </w:p>
        </w:tc>
        <w:tc>
          <w:tcPr>
            <w:tcW w:w="850"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812"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r>
      <w:tr w:rsidR="000E5829" w:rsidRPr="00B75D2A" w:rsidTr="004A0565">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3</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410" w:type="dxa"/>
            <w:gridSpan w:val="2"/>
            <w:tcBorders>
              <w:top w:val="single" w:sz="4" w:space="0" w:color="auto"/>
              <w:left w:val="nil"/>
              <w:bottom w:val="single" w:sz="4" w:space="0" w:color="auto"/>
              <w:right w:val="single" w:sz="4" w:space="0" w:color="000000"/>
            </w:tcBorders>
            <w:shd w:val="clear" w:color="000000" w:fill="FFFFFF"/>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Delays in receiving consents from EA</w:t>
            </w:r>
          </w:p>
        </w:tc>
        <w:tc>
          <w:tcPr>
            <w:tcW w:w="850" w:type="dxa"/>
            <w:tcBorders>
              <w:top w:val="nil"/>
              <w:left w:val="single" w:sz="8" w:space="0" w:color="auto"/>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2</w:t>
            </w:r>
          </w:p>
        </w:tc>
        <w:tc>
          <w:tcPr>
            <w:tcW w:w="1276" w:type="dxa"/>
            <w:tcBorders>
              <w:top w:val="nil"/>
              <w:left w:val="single" w:sz="4" w:space="0" w:color="auto"/>
              <w:bottom w:val="single" w:sz="4" w:space="0" w:color="auto"/>
              <w:right w:val="single" w:sz="4" w:space="0" w:color="auto"/>
            </w:tcBorders>
            <w:shd w:val="clear" w:color="000000" w:fill="FFFFFF"/>
            <w:hideMark/>
          </w:tcPr>
          <w:p w:rsidR="00D47FB9" w:rsidRPr="00B75D2A" w:rsidRDefault="00D47FB9" w:rsidP="004A0565">
            <w:pPr>
              <w:spacing w:after="0" w:line="240" w:lineRule="auto"/>
              <w:jc w:val="center"/>
              <w:rPr>
                <w:rFonts w:ascii="Arial" w:eastAsia="Times New Roman" w:hAnsi="Arial" w:cs="Arial"/>
                <w:sz w:val="18"/>
                <w:szCs w:val="18"/>
                <w:lang w:eastAsia="en-GB"/>
              </w:rPr>
            </w:pP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 xml:space="preserve">Delays start </w:t>
            </w:r>
          </w:p>
        </w:tc>
        <w:tc>
          <w:tcPr>
            <w:tcW w:w="851"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Update programme and limit project delays</w:t>
            </w:r>
          </w:p>
        </w:tc>
        <w:tc>
          <w:tcPr>
            <w:tcW w:w="850"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812"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r>
      <w:tr w:rsidR="000E5829" w:rsidRPr="00B75D2A" w:rsidTr="004A0565">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4</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410" w:type="dxa"/>
            <w:gridSpan w:val="2"/>
            <w:tcBorders>
              <w:top w:val="single" w:sz="4" w:space="0" w:color="auto"/>
              <w:left w:val="nil"/>
              <w:bottom w:val="single" w:sz="4" w:space="0" w:color="auto"/>
              <w:right w:val="single" w:sz="4" w:space="0" w:color="000000"/>
            </w:tcBorders>
            <w:shd w:val="clear" w:color="000000" w:fill="FFFFFF"/>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Delays in varying planning conditions  as a result of reaching agreement with EA current working restrictions</w:t>
            </w:r>
          </w:p>
        </w:tc>
        <w:tc>
          <w:tcPr>
            <w:tcW w:w="850" w:type="dxa"/>
            <w:tcBorders>
              <w:top w:val="single" w:sz="4" w:space="0" w:color="auto"/>
              <w:left w:val="nil"/>
              <w:bottom w:val="single" w:sz="4" w:space="0" w:color="auto"/>
              <w:right w:val="single" w:sz="4"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9</w:t>
            </w:r>
          </w:p>
        </w:tc>
        <w:tc>
          <w:tcPr>
            <w:tcW w:w="1276" w:type="dxa"/>
            <w:tcBorders>
              <w:top w:val="nil"/>
              <w:left w:val="nil"/>
              <w:bottom w:val="single" w:sz="4" w:space="0" w:color="auto"/>
              <w:right w:val="single" w:sz="4" w:space="0" w:color="auto"/>
            </w:tcBorders>
            <w:shd w:val="clear" w:color="000000" w:fill="FFFFFF"/>
            <w:hideMark/>
          </w:tcPr>
          <w:p w:rsidR="00D47FB9" w:rsidRPr="00B75D2A" w:rsidRDefault="00D47FB9" w:rsidP="004A0565">
            <w:pPr>
              <w:spacing w:after="0" w:line="240" w:lineRule="auto"/>
              <w:jc w:val="center"/>
              <w:rPr>
                <w:rFonts w:ascii="Arial" w:eastAsia="Times New Roman" w:hAnsi="Arial" w:cs="Arial"/>
                <w:sz w:val="18"/>
                <w:szCs w:val="18"/>
                <w:lang w:eastAsia="en-GB"/>
              </w:rPr>
            </w:pP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Delays start, changes project duration, influences construction approach</w:t>
            </w:r>
          </w:p>
        </w:tc>
        <w:tc>
          <w:tcPr>
            <w:tcW w:w="851"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Update programme and limit project delays</w:t>
            </w:r>
          </w:p>
        </w:tc>
        <w:tc>
          <w:tcPr>
            <w:tcW w:w="850"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812"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r>
      <w:tr w:rsidR="000E5829" w:rsidRPr="00B75D2A" w:rsidTr="004A0565">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5</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410" w:type="dxa"/>
            <w:gridSpan w:val="2"/>
            <w:tcBorders>
              <w:top w:val="single" w:sz="4" w:space="0" w:color="auto"/>
              <w:left w:val="nil"/>
              <w:bottom w:val="single" w:sz="4" w:space="0" w:color="auto"/>
              <w:right w:val="single" w:sz="4" w:space="0" w:color="000000"/>
            </w:tcBorders>
            <w:shd w:val="clear" w:color="000000" w:fill="FFFFFF"/>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Delays in availability of specialist items (pre-cast structures)</w:t>
            </w:r>
          </w:p>
        </w:tc>
        <w:tc>
          <w:tcPr>
            <w:tcW w:w="850" w:type="dxa"/>
            <w:tcBorders>
              <w:top w:val="nil"/>
              <w:left w:val="nil"/>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6</w:t>
            </w:r>
          </w:p>
        </w:tc>
        <w:tc>
          <w:tcPr>
            <w:tcW w:w="1276" w:type="dxa"/>
            <w:tcBorders>
              <w:top w:val="nil"/>
              <w:left w:val="nil"/>
              <w:bottom w:val="single" w:sz="4" w:space="0" w:color="auto"/>
              <w:right w:val="single" w:sz="4" w:space="0" w:color="auto"/>
            </w:tcBorders>
            <w:shd w:val="clear" w:color="000000" w:fill="FFFFFF"/>
            <w:hideMark/>
          </w:tcPr>
          <w:p w:rsidR="00D47FB9" w:rsidRPr="00B75D2A" w:rsidRDefault="00D47FB9" w:rsidP="004A0565">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                   50,000</w:t>
            </w: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None if ordered in advance, potential delays during construction</w:t>
            </w:r>
          </w:p>
        </w:tc>
        <w:tc>
          <w:tcPr>
            <w:tcW w:w="851"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Use another supplier (premium attached)</w:t>
            </w:r>
          </w:p>
        </w:tc>
        <w:tc>
          <w:tcPr>
            <w:tcW w:w="850"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812"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r>
      <w:tr w:rsidR="000E5829" w:rsidRPr="00B75D2A" w:rsidTr="004A0565">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6</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Delays in awarding tender result in estimated unit costs being out of date </w:t>
            </w:r>
          </w:p>
        </w:tc>
        <w:tc>
          <w:tcPr>
            <w:tcW w:w="850" w:type="dxa"/>
            <w:tcBorders>
              <w:top w:val="nil"/>
              <w:left w:val="nil"/>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6</w:t>
            </w:r>
          </w:p>
        </w:tc>
        <w:tc>
          <w:tcPr>
            <w:tcW w:w="1276" w:type="dxa"/>
            <w:tcBorders>
              <w:top w:val="nil"/>
              <w:left w:val="nil"/>
              <w:bottom w:val="single" w:sz="4" w:space="0" w:color="auto"/>
              <w:right w:val="single" w:sz="4" w:space="0" w:color="auto"/>
            </w:tcBorders>
            <w:shd w:val="clear" w:color="000000" w:fill="FFFFFF"/>
            <w:hideMark/>
          </w:tcPr>
          <w:p w:rsidR="00D47FB9" w:rsidRPr="00B75D2A" w:rsidRDefault="00D47FB9" w:rsidP="004A0565">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                 250,000</w:t>
            </w: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Delays start</w:t>
            </w:r>
          </w:p>
        </w:tc>
        <w:tc>
          <w:tcPr>
            <w:tcW w:w="851"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Update programme and limit project delays</w:t>
            </w:r>
          </w:p>
        </w:tc>
        <w:tc>
          <w:tcPr>
            <w:tcW w:w="850"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709"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c>
          <w:tcPr>
            <w:tcW w:w="812"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b/>
                <w:bCs/>
                <w:color w:val="000000"/>
                <w:sz w:val="24"/>
                <w:szCs w:val="24"/>
                <w:lang w:eastAsia="en-GB"/>
              </w:rPr>
            </w:pPr>
            <w:r w:rsidRPr="00B75D2A">
              <w:rPr>
                <w:rFonts w:ascii="Arial" w:eastAsia="Times New Roman" w:hAnsi="Arial" w:cs="Arial"/>
                <w:b/>
                <w:bCs/>
                <w:color w:val="000000"/>
                <w:sz w:val="24"/>
                <w:szCs w:val="24"/>
                <w:lang w:eastAsia="en-GB"/>
              </w:rPr>
              <w:t> </w:t>
            </w:r>
          </w:p>
        </w:tc>
      </w:tr>
      <w:tr w:rsidR="000E5829" w:rsidRPr="00B75D2A" w:rsidTr="004A0565">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7</w:t>
            </w:r>
          </w:p>
        </w:tc>
        <w:tc>
          <w:tcPr>
            <w:tcW w:w="709" w:type="dxa"/>
            <w:tcBorders>
              <w:top w:val="nil"/>
              <w:left w:val="nil"/>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not used</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4A0565">
            <w:pPr>
              <w:spacing w:after="0" w:line="240" w:lineRule="auto"/>
              <w:jc w:val="center"/>
              <w:rPr>
                <w:rFonts w:ascii="Arial" w:eastAsia="Times New Roman" w:hAnsi="Arial" w:cs="Arial"/>
                <w:sz w:val="18"/>
                <w:szCs w:val="18"/>
                <w:lang w:eastAsia="en-GB"/>
              </w:rPr>
            </w:pP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bl>
    <w:p w:rsidR="00F413C6" w:rsidRDefault="00F413C6">
      <w:r>
        <w:br w:type="page"/>
      </w:r>
    </w:p>
    <w:tbl>
      <w:tblPr>
        <w:tblW w:w="14137" w:type="dxa"/>
        <w:tblInd w:w="-5" w:type="dxa"/>
        <w:tblLayout w:type="fixed"/>
        <w:tblLook w:val="04A0" w:firstRow="1" w:lastRow="0" w:firstColumn="1" w:lastColumn="0" w:noHBand="0" w:noVBand="1"/>
      </w:tblPr>
      <w:tblGrid>
        <w:gridCol w:w="709"/>
        <w:gridCol w:w="709"/>
        <w:gridCol w:w="2410"/>
        <w:gridCol w:w="850"/>
        <w:gridCol w:w="1276"/>
        <w:gridCol w:w="2268"/>
        <w:gridCol w:w="851"/>
        <w:gridCol w:w="2693"/>
        <w:gridCol w:w="850"/>
        <w:gridCol w:w="709"/>
        <w:gridCol w:w="812"/>
      </w:tblGrid>
      <w:tr w:rsidR="000E5829" w:rsidRPr="00B75D2A" w:rsidTr="00F413C6">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lastRenderedPageBreak/>
              <w:t>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Electric costs (diversions/protection) exceed paid informal Kensington discussions (C3 Budget Cost C4 Detail Cost)</w:t>
            </w:r>
          </w:p>
        </w:tc>
        <w:tc>
          <w:tcPr>
            <w:tcW w:w="850" w:type="dxa"/>
            <w:tcBorders>
              <w:top w:val="nil"/>
              <w:left w:val="single" w:sz="4" w:space="0" w:color="auto"/>
              <w:bottom w:val="single" w:sz="4" w:space="0" w:color="auto"/>
              <w:right w:val="single" w:sz="8" w:space="0" w:color="auto"/>
            </w:tcBorders>
            <w:shd w:val="clear" w:color="000000" w:fill="FF00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4A0565">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                   65,000</w:t>
            </w:r>
          </w:p>
        </w:tc>
        <w:tc>
          <w:tcPr>
            <w:tcW w:w="2268" w:type="dxa"/>
            <w:tcBorders>
              <w:top w:val="single" w:sz="4" w:space="0" w:color="auto"/>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Possible start/during construction delays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2693" w:type="dxa"/>
            <w:tcBorders>
              <w:top w:val="single" w:sz="4" w:space="0" w:color="auto"/>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Further mitigation required, possible update of programme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9</w:t>
            </w:r>
          </w:p>
        </w:tc>
        <w:tc>
          <w:tcPr>
            <w:tcW w:w="709" w:type="dxa"/>
            <w:tcBorders>
              <w:top w:val="nil"/>
              <w:left w:val="nil"/>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BT costs exceed the paid (informal) Kensington discussions (C3 Budget Cost C4 Detail Cost)</w:t>
            </w:r>
          </w:p>
        </w:tc>
        <w:tc>
          <w:tcPr>
            <w:tcW w:w="850" w:type="dxa"/>
            <w:tcBorders>
              <w:top w:val="nil"/>
              <w:left w:val="single" w:sz="4" w:space="0" w:color="auto"/>
              <w:bottom w:val="single" w:sz="4" w:space="0" w:color="auto"/>
              <w:right w:val="single" w:sz="8" w:space="0" w:color="auto"/>
            </w:tcBorders>
            <w:shd w:val="clear" w:color="000000" w:fill="FF00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200,000</w:t>
            </w: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Possible start/during construction delays</w:t>
            </w:r>
          </w:p>
        </w:tc>
        <w:tc>
          <w:tcPr>
            <w:tcW w:w="851" w:type="dxa"/>
            <w:tcBorders>
              <w:top w:val="nil"/>
              <w:left w:val="nil"/>
              <w:bottom w:val="single" w:sz="4" w:space="0" w:color="auto"/>
              <w:right w:val="single" w:sz="4" w:space="0" w:color="auto"/>
            </w:tcBorders>
            <w:shd w:val="clear" w:color="auto" w:fill="auto"/>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Further mitigation required, possible update of programme</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10</w:t>
            </w:r>
          </w:p>
        </w:tc>
        <w:tc>
          <w:tcPr>
            <w:tcW w:w="709" w:type="dxa"/>
            <w:tcBorders>
              <w:top w:val="nil"/>
              <w:left w:val="nil"/>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Agreements with utilities delays programme</w:t>
            </w:r>
          </w:p>
        </w:tc>
        <w:tc>
          <w:tcPr>
            <w:tcW w:w="850" w:type="dxa"/>
            <w:tcBorders>
              <w:top w:val="single" w:sz="8" w:space="0" w:color="auto"/>
              <w:left w:val="nil"/>
              <w:bottom w:val="single" w:sz="4" w:space="0" w:color="auto"/>
              <w:right w:val="single" w:sz="4"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10</w:t>
            </w:r>
          </w:p>
        </w:tc>
        <w:tc>
          <w:tcPr>
            <w:tcW w:w="1276" w:type="dxa"/>
            <w:tcBorders>
              <w:top w:val="nil"/>
              <w:left w:val="nil"/>
              <w:bottom w:val="single" w:sz="4" w:space="0" w:color="auto"/>
              <w:right w:val="single" w:sz="4" w:space="0" w:color="auto"/>
            </w:tcBorders>
            <w:shd w:val="clear" w:color="auto" w:fill="auto"/>
            <w:vAlign w:val="center"/>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Delays could impact on start</w:t>
            </w:r>
          </w:p>
        </w:tc>
        <w:tc>
          <w:tcPr>
            <w:tcW w:w="851" w:type="dxa"/>
            <w:tcBorders>
              <w:top w:val="nil"/>
              <w:left w:val="nil"/>
              <w:bottom w:val="single" w:sz="4" w:space="0" w:color="auto"/>
              <w:right w:val="single" w:sz="4" w:space="0" w:color="auto"/>
            </w:tcBorders>
            <w:shd w:val="clear" w:color="auto" w:fill="auto"/>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Update programme and limit project delays</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11</w:t>
            </w:r>
          </w:p>
        </w:tc>
        <w:tc>
          <w:tcPr>
            <w:tcW w:w="709" w:type="dxa"/>
            <w:tcBorders>
              <w:top w:val="nil"/>
              <w:left w:val="nil"/>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 xml:space="preserve">Delivery of utility diversions/protection results in programme delays </w:t>
            </w:r>
          </w:p>
        </w:tc>
        <w:tc>
          <w:tcPr>
            <w:tcW w:w="850" w:type="dxa"/>
            <w:tcBorders>
              <w:top w:val="single" w:sz="8" w:space="0" w:color="auto"/>
              <w:left w:val="nil"/>
              <w:bottom w:val="single" w:sz="4" w:space="0" w:color="auto"/>
              <w:right w:val="single" w:sz="4"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60,000</w:t>
            </w: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sz w:val="18"/>
                <w:szCs w:val="18"/>
                <w:lang w:eastAsia="en-GB"/>
              </w:rPr>
            </w:pPr>
            <w:r w:rsidRPr="00B75D2A">
              <w:rPr>
                <w:rFonts w:ascii="Arial" w:eastAsia="Times New Roman" w:hAnsi="Arial" w:cs="Arial"/>
                <w:sz w:val="18"/>
                <w:szCs w:val="18"/>
                <w:lang w:eastAsia="en-GB"/>
              </w:rPr>
              <w:t>Possible start/during construction delays</w:t>
            </w:r>
          </w:p>
        </w:tc>
        <w:tc>
          <w:tcPr>
            <w:tcW w:w="851" w:type="dxa"/>
            <w:tcBorders>
              <w:top w:val="nil"/>
              <w:left w:val="nil"/>
              <w:bottom w:val="single" w:sz="4" w:space="0" w:color="auto"/>
              <w:right w:val="single" w:sz="4" w:space="0" w:color="auto"/>
            </w:tcBorders>
            <w:shd w:val="clear" w:color="auto" w:fill="auto"/>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Update programme and limit project delays</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12</w:t>
            </w:r>
          </w:p>
        </w:tc>
        <w:tc>
          <w:tcPr>
            <w:tcW w:w="709" w:type="dxa"/>
            <w:tcBorders>
              <w:top w:val="nil"/>
              <w:left w:val="nil"/>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Delivery of new road section within the constrained existing highway boundary (width, utilities, poor ground conditions, excavating below water table), results in additional time/materials/plant/change in construction approach</w:t>
            </w:r>
          </w:p>
        </w:tc>
        <w:tc>
          <w:tcPr>
            <w:tcW w:w="850" w:type="dxa"/>
            <w:tcBorders>
              <w:top w:val="single" w:sz="4" w:space="0" w:color="auto"/>
              <w:left w:val="single" w:sz="4" w:space="0" w:color="auto"/>
              <w:bottom w:val="single" w:sz="4" w:space="0" w:color="auto"/>
              <w:right w:val="single" w:sz="8" w:space="0" w:color="auto"/>
            </w:tcBorders>
            <w:shd w:val="clear" w:color="000000" w:fill="FF00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100,000</w:t>
            </w: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Delays could impact on programme</w:t>
            </w:r>
          </w:p>
        </w:tc>
        <w:tc>
          <w:tcPr>
            <w:tcW w:w="851" w:type="dxa"/>
            <w:tcBorders>
              <w:top w:val="nil"/>
              <w:left w:val="nil"/>
              <w:bottom w:val="single" w:sz="4" w:space="0" w:color="auto"/>
              <w:right w:val="single" w:sz="4" w:space="0" w:color="auto"/>
            </w:tcBorders>
            <w:shd w:val="clear" w:color="auto" w:fill="auto"/>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Increased cost of delivering new section of road, update programme</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11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13</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Working constraints on </w:t>
            </w:r>
            <w:proofErr w:type="spellStart"/>
            <w:r w:rsidRPr="00B75D2A">
              <w:rPr>
                <w:rFonts w:ascii="Arial" w:eastAsia="Times New Roman" w:hAnsi="Arial" w:cs="Arial"/>
                <w:color w:val="000000"/>
                <w:sz w:val="18"/>
                <w:szCs w:val="18"/>
                <w:lang w:eastAsia="en-GB"/>
              </w:rPr>
              <w:t>Whitehills</w:t>
            </w:r>
            <w:proofErr w:type="spellEnd"/>
            <w:r w:rsidRPr="00B75D2A">
              <w:rPr>
                <w:rFonts w:ascii="Arial" w:eastAsia="Times New Roman" w:hAnsi="Arial" w:cs="Arial"/>
                <w:color w:val="000000"/>
                <w:sz w:val="18"/>
                <w:szCs w:val="18"/>
                <w:lang w:eastAsia="en-GB"/>
              </w:rPr>
              <w:t xml:space="preserve"> roundabout </w:t>
            </w:r>
          </w:p>
        </w:tc>
        <w:tc>
          <w:tcPr>
            <w:tcW w:w="850" w:type="dxa"/>
            <w:tcBorders>
              <w:top w:val="single" w:sz="4" w:space="0" w:color="auto"/>
              <w:left w:val="nil"/>
              <w:bottom w:val="single" w:sz="4" w:space="0" w:color="auto"/>
              <w:right w:val="single" w:sz="4"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12</w:t>
            </w:r>
          </w:p>
        </w:tc>
        <w:tc>
          <w:tcPr>
            <w:tcW w:w="1276"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Influences management on the local network and possible delays to deliveries during peaks</w:t>
            </w:r>
          </w:p>
        </w:tc>
        <w:tc>
          <w:tcPr>
            <w:tcW w:w="851"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bl>
    <w:p w:rsidR="00F413C6" w:rsidRDefault="00F413C6">
      <w:r>
        <w:br w:type="page"/>
      </w:r>
    </w:p>
    <w:tbl>
      <w:tblPr>
        <w:tblW w:w="14137" w:type="dxa"/>
        <w:tblInd w:w="-5" w:type="dxa"/>
        <w:tblLayout w:type="fixed"/>
        <w:tblLook w:val="04A0" w:firstRow="1" w:lastRow="0" w:firstColumn="1" w:lastColumn="0" w:noHBand="0" w:noVBand="1"/>
      </w:tblPr>
      <w:tblGrid>
        <w:gridCol w:w="709"/>
        <w:gridCol w:w="709"/>
        <w:gridCol w:w="2410"/>
        <w:gridCol w:w="850"/>
        <w:gridCol w:w="1276"/>
        <w:gridCol w:w="2268"/>
        <w:gridCol w:w="851"/>
        <w:gridCol w:w="2693"/>
        <w:gridCol w:w="850"/>
        <w:gridCol w:w="709"/>
        <w:gridCol w:w="812"/>
      </w:tblGrid>
      <w:tr w:rsidR="000E5829" w:rsidRPr="00B75D2A" w:rsidTr="00F413C6">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lastRenderedPageBreak/>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sz w:val="18"/>
                <w:szCs w:val="18"/>
                <w:lang w:eastAsia="en-GB"/>
              </w:rPr>
            </w:pPr>
            <w:r w:rsidRPr="00B75D2A">
              <w:rPr>
                <w:rFonts w:ascii="Arial" w:eastAsia="Times New Roman" w:hAnsi="Arial" w:cs="Arial"/>
                <w:sz w:val="18"/>
                <w:szCs w:val="18"/>
                <w:lang w:eastAsia="en-GB"/>
              </w:rPr>
              <w:t>Moss sluice and branch drain, significant working constraints (width, utilities, poor ground conditions, excavation below water table)</w:t>
            </w:r>
          </w:p>
        </w:tc>
        <w:tc>
          <w:tcPr>
            <w:tcW w:w="850" w:type="dxa"/>
            <w:tcBorders>
              <w:top w:val="nil"/>
              <w:left w:val="nil"/>
              <w:bottom w:val="single" w:sz="4" w:space="0" w:color="auto"/>
              <w:right w:val="single" w:sz="4" w:space="0" w:color="auto"/>
            </w:tcBorders>
            <w:shd w:val="clear" w:color="000000" w:fill="FF00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60,000</w:t>
            </w:r>
          </w:p>
        </w:tc>
        <w:tc>
          <w:tcPr>
            <w:tcW w:w="2268" w:type="dxa"/>
            <w:tcBorders>
              <w:top w:val="single" w:sz="4" w:space="0" w:color="auto"/>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Some construction delays due to abortive works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single" w:sz="4" w:space="0" w:color="auto"/>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20% increase in cost to mitigate (exclude structure costs)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15</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C575BE" w:rsidP="0086001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13th July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Influence of drainage on  ground water protection zones </w:t>
            </w:r>
          </w:p>
        </w:tc>
        <w:tc>
          <w:tcPr>
            <w:tcW w:w="850" w:type="dxa"/>
            <w:tcBorders>
              <w:top w:val="single" w:sz="4" w:space="0" w:color="auto"/>
              <w:left w:val="single" w:sz="8" w:space="0" w:color="auto"/>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40,000</w:t>
            </w: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None</w:t>
            </w:r>
          </w:p>
        </w:tc>
        <w:tc>
          <w:tcPr>
            <w:tcW w:w="851"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Additional materials required and the use of a lining</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16</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Ground settlement takes longer than anticipated</w:t>
            </w:r>
          </w:p>
        </w:tc>
        <w:tc>
          <w:tcPr>
            <w:tcW w:w="850" w:type="dxa"/>
            <w:tcBorders>
              <w:top w:val="nil"/>
              <w:left w:val="single" w:sz="8" w:space="0" w:color="auto"/>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Delays programme and road construction </w:t>
            </w:r>
          </w:p>
        </w:tc>
        <w:tc>
          <w:tcPr>
            <w:tcW w:w="851"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xml:space="preserve">Programme to be adjusted </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17</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Surcharge requires additional materials </w:t>
            </w:r>
          </w:p>
        </w:tc>
        <w:tc>
          <w:tcPr>
            <w:tcW w:w="850" w:type="dxa"/>
            <w:tcBorders>
              <w:top w:val="single" w:sz="4" w:space="0" w:color="auto"/>
              <w:left w:val="nil"/>
              <w:bottom w:val="single" w:sz="4" w:space="0" w:color="auto"/>
              <w:right w:val="single" w:sz="4"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9</w:t>
            </w:r>
          </w:p>
        </w:tc>
        <w:tc>
          <w:tcPr>
            <w:tcW w:w="1276"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200,000</w:t>
            </w: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Delays as a result of the need for additional materials</w:t>
            </w:r>
          </w:p>
        </w:tc>
        <w:tc>
          <w:tcPr>
            <w:tcW w:w="851"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5% increase in materials and compaction</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18</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Agreements required with adjacent land owners to satisfy access requirements, over sailing</w:t>
            </w:r>
          </w:p>
        </w:tc>
        <w:tc>
          <w:tcPr>
            <w:tcW w:w="850" w:type="dxa"/>
            <w:tcBorders>
              <w:top w:val="nil"/>
              <w:left w:val="nil"/>
              <w:bottom w:val="single" w:sz="4" w:space="0" w:color="auto"/>
              <w:right w:val="single" w:sz="4"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12</w:t>
            </w:r>
          </w:p>
        </w:tc>
        <w:tc>
          <w:tcPr>
            <w:tcW w:w="1276"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500,000</w:t>
            </w: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if known in advance, no programme delay</w:t>
            </w:r>
          </w:p>
        </w:tc>
        <w:tc>
          <w:tcPr>
            <w:tcW w:w="851"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Alternative construction method required</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19</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Poor weather conditions results in project delays</w:t>
            </w:r>
          </w:p>
        </w:tc>
        <w:tc>
          <w:tcPr>
            <w:tcW w:w="850" w:type="dxa"/>
            <w:tcBorders>
              <w:top w:val="nil"/>
              <w:left w:val="nil"/>
              <w:bottom w:val="single" w:sz="4" w:space="0" w:color="auto"/>
              <w:right w:val="single" w:sz="4"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12</w:t>
            </w:r>
          </w:p>
        </w:tc>
        <w:tc>
          <w:tcPr>
            <w:tcW w:w="1276"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Influences construction assume 3 month overall project delay</w:t>
            </w:r>
          </w:p>
        </w:tc>
        <w:tc>
          <w:tcPr>
            <w:tcW w:w="851"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Assumed 3 month delay</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20</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Poor weather conditions results in greater materials on haul road</w:t>
            </w:r>
          </w:p>
        </w:tc>
        <w:tc>
          <w:tcPr>
            <w:tcW w:w="850" w:type="dxa"/>
            <w:tcBorders>
              <w:top w:val="nil"/>
              <w:left w:val="nil"/>
              <w:bottom w:val="single" w:sz="4" w:space="0" w:color="auto"/>
              <w:right w:val="single" w:sz="4" w:space="0" w:color="auto"/>
            </w:tcBorders>
            <w:shd w:val="clear" w:color="000000" w:fill="FF00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20</w:t>
            </w:r>
          </w:p>
        </w:tc>
        <w:tc>
          <w:tcPr>
            <w:tcW w:w="1276"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40,000</w:t>
            </w: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Limited programme delay until haul road is usable</w:t>
            </w:r>
          </w:p>
        </w:tc>
        <w:tc>
          <w:tcPr>
            <w:tcW w:w="851"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20% increase in materials</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21</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Poor weather conditions requires additional water pumping or increases duration of water pumping or modifications to watercourse diversions</w:t>
            </w:r>
          </w:p>
        </w:tc>
        <w:tc>
          <w:tcPr>
            <w:tcW w:w="850" w:type="dxa"/>
            <w:tcBorders>
              <w:top w:val="single" w:sz="8" w:space="0" w:color="auto"/>
              <w:left w:val="nil"/>
              <w:bottom w:val="single" w:sz="4" w:space="0" w:color="auto"/>
              <w:right w:val="single" w:sz="4" w:space="0" w:color="auto"/>
            </w:tcBorders>
            <w:shd w:val="clear" w:color="000000" w:fill="FF00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15</w:t>
            </w:r>
          </w:p>
        </w:tc>
        <w:tc>
          <w:tcPr>
            <w:tcW w:w="1276"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100,000</w:t>
            </w: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Poor weather could slow down construction and incur programme delays</w:t>
            </w:r>
          </w:p>
        </w:tc>
        <w:tc>
          <w:tcPr>
            <w:tcW w:w="851"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Use of additional pumping equipment or for extended period of time</w:t>
            </w:r>
          </w:p>
        </w:tc>
        <w:tc>
          <w:tcPr>
            <w:tcW w:w="850"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bl>
    <w:p w:rsidR="00F413C6" w:rsidRDefault="00F413C6">
      <w:r>
        <w:br w:type="page"/>
      </w:r>
    </w:p>
    <w:tbl>
      <w:tblPr>
        <w:tblW w:w="14137" w:type="dxa"/>
        <w:tblInd w:w="-5" w:type="dxa"/>
        <w:tblLayout w:type="fixed"/>
        <w:tblLook w:val="04A0" w:firstRow="1" w:lastRow="0" w:firstColumn="1" w:lastColumn="0" w:noHBand="0" w:noVBand="1"/>
      </w:tblPr>
      <w:tblGrid>
        <w:gridCol w:w="709"/>
        <w:gridCol w:w="709"/>
        <w:gridCol w:w="2410"/>
        <w:gridCol w:w="850"/>
        <w:gridCol w:w="1276"/>
        <w:gridCol w:w="2268"/>
        <w:gridCol w:w="851"/>
        <w:gridCol w:w="2693"/>
        <w:gridCol w:w="850"/>
        <w:gridCol w:w="709"/>
        <w:gridCol w:w="812"/>
      </w:tblGrid>
      <w:tr w:rsidR="000E5829" w:rsidRPr="00B75D2A" w:rsidTr="00F413C6">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lastRenderedPageBreak/>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Poor ground conditions requires additional temporary haul roads to deliver structures, additional equipment, plant or materials, as well as hire additional plant</w:t>
            </w:r>
          </w:p>
        </w:tc>
        <w:tc>
          <w:tcPr>
            <w:tcW w:w="850" w:type="dxa"/>
            <w:tcBorders>
              <w:top w:val="nil"/>
              <w:left w:val="nil"/>
              <w:bottom w:val="single" w:sz="4" w:space="0" w:color="auto"/>
              <w:right w:val="single" w:sz="4" w:space="0" w:color="auto"/>
            </w:tcBorders>
            <w:shd w:val="clear" w:color="000000" w:fill="FF00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250,000</w:t>
            </w:r>
          </w:p>
        </w:tc>
        <w:tc>
          <w:tcPr>
            <w:tcW w:w="2268" w:type="dxa"/>
            <w:tcBorders>
              <w:top w:val="single" w:sz="4" w:space="0" w:color="auto"/>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Poor weather could slow down construction and incur programme delays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single" w:sz="4" w:space="0" w:color="auto"/>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xml:space="preserve">Construct additional, haul road, use additional materials and plant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23</w:t>
            </w:r>
          </w:p>
        </w:tc>
        <w:tc>
          <w:tcPr>
            <w:tcW w:w="709"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Imported materials cannot be provided by nearest quarry</w:t>
            </w:r>
          </w:p>
        </w:tc>
        <w:tc>
          <w:tcPr>
            <w:tcW w:w="850" w:type="dxa"/>
            <w:tcBorders>
              <w:top w:val="nil"/>
              <w:left w:val="nil"/>
              <w:bottom w:val="single" w:sz="4" w:space="0" w:color="auto"/>
              <w:right w:val="single" w:sz="4"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9</w:t>
            </w:r>
          </w:p>
        </w:tc>
        <w:tc>
          <w:tcPr>
            <w:tcW w:w="1276"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180,000</w:t>
            </w:r>
          </w:p>
        </w:tc>
        <w:tc>
          <w:tcPr>
            <w:tcW w:w="2268" w:type="dxa"/>
            <w:tcBorders>
              <w:top w:val="nil"/>
              <w:left w:val="nil"/>
              <w:bottom w:val="single" w:sz="4" w:space="0" w:color="auto"/>
              <w:right w:val="single" w:sz="4" w:space="0" w:color="auto"/>
            </w:tcBorders>
            <w:shd w:val="clear" w:color="auto" w:fill="auto"/>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No programme impact if known in advance</w:t>
            </w:r>
          </w:p>
        </w:tc>
        <w:tc>
          <w:tcPr>
            <w:tcW w:w="851" w:type="dxa"/>
            <w:tcBorders>
              <w:top w:val="nil"/>
              <w:left w:val="nil"/>
              <w:bottom w:val="single" w:sz="4" w:space="0" w:color="auto"/>
              <w:right w:val="single" w:sz="4" w:space="0" w:color="auto"/>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5% premium of imported materials</w:t>
            </w:r>
          </w:p>
        </w:tc>
        <w:tc>
          <w:tcPr>
            <w:tcW w:w="850"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24</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000000" w:fill="FFFFFF"/>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Imported material cannot be provided at rate required resulting in delay</w:t>
            </w:r>
          </w:p>
        </w:tc>
        <w:tc>
          <w:tcPr>
            <w:tcW w:w="850" w:type="dxa"/>
            <w:tcBorders>
              <w:top w:val="nil"/>
              <w:left w:val="nil"/>
              <w:bottom w:val="single" w:sz="4" w:space="0" w:color="auto"/>
              <w:right w:val="single" w:sz="4"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9</w:t>
            </w:r>
          </w:p>
        </w:tc>
        <w:tc>
          <w:tcPr>
            <w:tcW w:w="1276"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60,000</w:t>
            </w: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Construction delays</w:t>
            </w:r>
          </w:p>
        </w:tc>
        <w:tc>
          <w:tcPr>
            <w:tcW w:w="851"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Assumed a 3month project delay</w:t>
            </w:r>
          </w:p>
        </w:tc>
        <w:tc>
          <w:tcPr>
            <w:tcW w:w="850"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25</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000000" w:fill="FFFFFF"/>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Excavated earth (with additives) is not suitable for reuse</w:t>
            </w:r>
          </w:p>
        </w:tc>
        <w:tc>
          <w:tcPr>
            <w:tcW w:w="850" w:type="dxa"/>
            <w:tcBorders>
              <w:top w:val="nil"/>
              <w:left w:val="nil"/>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6</w:t>
            </w:r>
          </w:p>
        </w:tc>
        <w:tc>
          <w:tcPr>
            <w:tcW w:w="1276"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4A0565">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1,000,000</w:t>
            </w: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Some programme delay as additional handling is required  and requires Kensington support</w:t>
            </w:r>
          </w:p>
        </w:tc>
        <w:tc>
          <w:tcPr>
            <w:tcW w:w="851"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Addition 25% of materials need to be imported and compacted. Unsuitable earth to be removed and usable on the Kensington site</w:t>
            </w:r>
          </w:p>
        </w:tc>
        <w:tc>
          <w:tcPr>
            <w:tcW w:w="850"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26</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Safety audits require additional work</w:t>
            </w:r>
          </w:p>
        </w:tc>
        <w:tc>
          <w:tcPr>
            <w:tcW w:w="850" w:type="dxa"/>
            <w:tcBorders>
              <w:top w:val="nil"/>
              <w:left w:val="nil"/>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 £                 100,000 </w:t>
            </w: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Post construction</w:t>
            </w:r>
          </w:p>
        </w:tc>
        <w:tc>
          <w:tcPr>
            <w:tcW w:w="851"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Additional road markings, signing and other minor changes</w:t>
            </w:r>
          </w:p>
        </w:tc>
        <w:tc>
          <w:tcPr>
            <w:tcW w:w="850"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27</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000000" w:fill="FFFFFF"/>
            <w:noWrap/>
            <w:vAlign w:val="bottom"/>
            <w:hideMark/>
          </w:tcPr>
          <w:p w:rsidR="00D47FB9" w:rsidRPr="00B75D2A" w:rsidRDefault="004A0565" w:rsidP="00860011">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Low performance of (sub-</w:t>
            </w:r>
            <w:r w:rsidR="00D47FB9" w:rsidRPr="00B75D2A">
              <w:rPr>
                <w:rFonts w:ascii="Arial" w:eastAsia="Times New Roman" w:hAnsi="Arial" w:cs="Arial"/>
                <w:color w:val="000000"/>
                <w:sz w:val="18"/>
                <w:szCs w:val="18"/>
                <w:lang w:eastAsia="en-GB"/>
              </w:rPr>
              <w:t>contractors)</w:t>
            </w:r>
          </w:p>
        </w:tc>
        <w:tc>
          <w:tcPr>
            <w:tcW w:w="850" w:type="dxa"/>
            <w:tcBorders>
              <w:top w:val="nil"/>
              <w:left w:val="nil"/>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 £                 100,000 </w:t>
            </w: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Some programme  delay</w:t>
            </w:r>
          </w:p>
        </w:tc>
        <w:tc>
          <w:tcPr>
            <w:tcW w:w="851"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4A0565"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Responsibility</w:t>
            </w:r>
            <w:r w:rsidR="00D47FB9" w:rsidRPr="00B75D2A">
              <w:rPr>
                <w:rFonts w:ascii="Arial" w:eastAsia="Times New Roman" w:hAnsi="Arial" w:cs="Arial"/>
                <w:color w:val="000000"/>
                <w:sz w:val="20"/>
                <w:szCs w:val="20"/>
                <w:lang w:eastAsia="en-GB"/>
              </w:rPr>
              <w:t xml:space="preserve"> of main contractor, additional contractors or replace.</w:t>
            </w:r>
          </w:p>
        </w:tc>
        <w:tc>
          <w:tcPr>
            <w:tcW w:w="850"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28</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Further accommodation works required</w:t>
            </w:r>
          </w:p>
        </w:tc>
        <w:tc>
          <w:tcPr>
            <w:tcW w:w="850" w:type="dxa"/>
            <w:tcBorders>
              <w:top w:val="nil"/>
              <w:left w:val="nil"/>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 £                 250,000 </w:t>
            </w: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Could delay start of construction</w:t>
            </w:r>
          </w:p>
        </w:tc>
        <w:tc>
          <w:tcPr>
            <w:tcW w:w="851"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xml:space="preserve">Fencing, car parking, drainage, temporary ponds </w:t>
            </w:r>
          </w:p>
        </w:tc>
        <w:tc>
          <w:tcPr>
            <w:tcW w:w="850"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sz w:val="20"/>
                <w:szCs w:val="20"/>
                <w:lang w:eastAsia="en-GB"/>
              </w:rPr>
            </w:pPr>
            <w:r w:rsidRPr="00B75D2A">
              <w:rPr>
                <w:rFonts w:ascii="Arial" w:eastAsia="Times New Roman" w:hAnsi="Arial" w:cs="Arial"/>
                <w:sz w:val="20"/>
                <w:szCs w:val="20"/>
                <w:lang w:eastAsia="en-GB"/>
              </w:rPr>
              <w:t>29</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Further design required during contract</w:t>
            </w:r>
          </w:p>
        </w:tc>
        <w:tc>
          <w:tcPr>
            <w:tcW w:w="850" w:type="dxa"/>
            <w:tcBorders>
              <w:top w:val="nil"/>
              <w:left w:val="nil"/>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 £                   25,000 </w:t>
            </w: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None, if known in advance</w:t>
            </w:r>
          </w:p>
        </w:tc>
        <w:tc>
          <w:tcPr>
            <w:tcW w:w="851"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have design consultants available when required</w:t>
            </w:r>
          </w:p>
        </w:tc>
        <w:tc>
          <w:tcPr>
            <w:tcW w:w="850"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bl>
    <w:p w:rsidR="00F413C6" w:rsidRDefault="00F413C6">
      <w:r>
        <w:br w:type="page"/>
      </w:r>
    </w:p>
    <w:tbl>
      <w:tblPr>
        <w:tblW w:w="14137" w:type="dxa"/>
        <w:tblInd w:w="-5" w:type="dxa"/>
        <w:tblLayout w:type="fixed"/>
        <w:tblLook w:val="04A0" w:firstRow="1" w:lastRow="0" w:firstColumn="1" w:lastColumn="0" w:noHBand="0" w:noVBand="1"/>
      </w:tblPr>
      <w:tblGrid>
        <w:gridCol w:w="709"/>
        <w:gridCol w:w="709"/>
        <w:gridCol w:w="2410"/>
        <w:gridCol w:w="850"/>
        <w:gridCol w:w="1276"/>
        <w:gridCol w:w="2268"/>
        <w:gridCol w:w="851"/>
        <w:gridCol w:w="2693"/>
        <w:gridCol w:w="850"/>
        <w:gridCol w:w="709"/>
        <w:gridCol w:w="812"/>
      </w:tblGrid>
      <w:tr w:rsidR="000E5829" w:rsidRPr="00B75D2A" w:rsidTr="00F413C6">
        <w:trPr>
          <w:trHeight w:val="84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lastRenderedPageBreak/>
              <w:t>30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410" w:type="dxa"/>
            <w:tcBorders>
              <w:top w:val="single" w:sz="4" w:space="0" w:color="auto"/>
              <w:left w:val="nil"/>
              <w:bottom w:val="single" w:sz="4" w:space="0" w:color="auto"/>
              <w:right w:val="single" w:sz="4" w:space="0" w:color="000000"/>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Part 1 claims exceeding budget</w:t>
            </w:r>
          </w:p>
        </w:tc>
        <w:tc>
          <w:tcPr>
            <w:tcW w:w="850" w:type="dxa"/>
            <w:tcBorders>
              <w:top w:val="single" w:sz="4" w:space="0" w:color="auto"/>
              <w:left w:val="single" w:sz="8" w:space="0" w:color="auto"/>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 £                 162,500 </w:t>
            </w:r>
          </w:p>
        </w:tc>
        <w:tc>
          <w:tcPr>
            <w:tcW w:w="2268" w:type="dxa"/>
            <w:tcBorders>
              <w:top w:val="single" w:sz="4" w:space="0" w:color="auto"/>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Post construction</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single" w:sz="4" w:space="0" w:color="auto"/>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ensure full consideration is given to dwellings impacted on</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31</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C575BE" w:rsidP="0086001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13th July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Delay in EA approval</w:t>
            </w:r>
          </w:p>
        </w:tc>
        <w:tc>
          <w:tcPr>
            <w:tcW w:w="850" w:type="dxa"/>
            <w:tcBorders>
              <w:top w:val="single" w:sz="4" w:space="0" w:color="auto"/>
              <w:left w:val="nil"/>
              <w:bottom w:val="single" w:sz="4" w:space="0" w:color="auto"/>
              <w:right w:val="single" w:sz="4" w:space="0" w:color="auto"/>
            </w:tcBorders>
            <w:shd w:val="clear" w:color="000000" w:fill="00FF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w:t>
            </w: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Could delay in securing funds and subsequently project start</w:t>
            </w:r>
          </w:p>
        </w:tc>
        <w:tc>
          <w:tcPr>
            <w:tcW w:w="851"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32</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18th July</w:t>
            </w:r>
          </w:p>
        </w:tc>
        <w:tc>
          <w:tcPr>
            <w:tcW w:w="2410" w:type="dxa"/>
            <w:tcBorders>
              <w:top w:val="single" w:sz="4" w:space="0" w:color="auto"/>
              <w:left w:val="nil"/>
              <w:bottom w:val="single" w:sz="4" w:space="0" w:color="auto"/>
              <w:right w:val="single" w:sz="4" w:space="0" w:color="000000"/>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Local highway changes as a result of road reclassification </w:t>
            </w:r>
          </w:p>
        </w:tc>
        <w:tc>
          <w:tcPr>
            <w:tcW w:w="850" w:type="dxa"/>
            <w:tcBorders>
              <w:top w:val="nil"/>
              <w:left w:val="nil"/>
              <w:bottom w:val="single" w:sz="4" w:space="0" w:color="auto"/>
              <w:right w:val="single" w:sz="4"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4"/>
                <w:szCs w:val="24"/>
                <w:lang w:eastAsia="en-GB"/>
              </w:rPr>
            </w:pPr>
            <w:r w:rsidRPr="00B75D2A">
              <w:rPr>
                <w:rFonts w:ascii="Arial" w:eastAsia="Times New Roman" w:hAnsi="Arial" w:cs="Arial"/>
                <w:b/>
                <w:bCs/>
                <w:sz w:val="24"/>
                <w:szCs w:val="24"/>
                <w:lang w:eastAsia="en-GB"/>
              </w:rPr>
              <w:t>8</w:t>
            </w:r>
          </w:p>
        </w:tc>
        <w:tc>
          <w:tcPr>
            <w:tcW w:w="1276"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 £                 170,000 </w:t>
            </w:r>
          </w:p>
        </w:tc>
        <w:tc>
          <w:tcPr>
            <w:tcW w:w="2268"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jc w:val="center"/>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None, for link road construction</w:t>
            </w:r>
          </w:p>
        </w:tc>
        <w:tc>
          <w:tcPr>
            <w:tcW w:w="851"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Deliver necessary changes to corridor, prior to road reclassification</w:t>
            </w:r>
          </w:p>
        </w:tc>
        <w:tc>
          <w:tcPr>
            <w:tcW w:w="850"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r w:rsidR="000E5829" w:rsidRPr="00B75D2A" w:rsidTr="00F413C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jc w:val="center"/>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33</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25th July</w:t>
            </w:r>
          </w:p>
        </w:tc>
        <w:tc>
          <w:tcPr>
            <w:tcW w:w="2410" w:type="dxa"/>
            <w:tcBorders>
              <w:top w:val="single" w:sz="4" w:space="0" w:color="auto"/>
              <w:left w:val="nil"/>
              <w:bottom w:val="single" w:sz="4" w:space="0" w:color="auto"/>
              <w:right w:val="single" w:sz="4" w:space="0" w:color="000000"/>
            </w:tcBorders>
            <w:shd w:val="clear" w:color="000000" w:fill="FFFFFF"/>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 Business cases for funds are not successful. Risk of clawback of the LEP contribution as a result of delay in housing delivery. </w:t>
            </w:r>
          </w:p>
        </w:tc>
        <w:tc>
          <w:tcPr>
            <w:tcW w:w="850" w:type="dxa"/>
            <w:tcBorders>
              <w:top w:val="single" w:sz="4" w:space="0" w:color="auto"/>
              <w:left w:val="single" w:sz="4" w:space="0" w:color="auto"/>
              <w:bottom w:val="single" w:sz="4" w:space="0" w:color="auto"/>
              <w:right w:val="single" w:sz="8" w:space="0" w:color="auto"/>
            </w:tcBorders>
            <w:shd w:val="clear" w:color="000000" w:fill="FFCC00"/>
            <w:noWrap/>
            <w:vAlign w:val="center"/>
            <w:hideMark/>
          </w:tcPr>
          <w:p w:rsidR="00D47FB9" w:rsidRPr="00B75D2A" w:rsidRDefault="00D47FB9" w:rsidP="00860011">
            <w:pPr>
              <w:spacing w:after="0" w:line="240" w:lineRule="auto"/>
              <w:jc w:val="center"/>
              <w:rPr>
                <w:rFonts w:ascii="Arial" w:eastAsia="Times New Roman" w:hAnsi="Arial" w:cs="Arial"/>
                <w:b/>
                <w:bCs/>
                <w:sz w:val="20"/>
                <w:szCs w:val="20"/>
                <w:lang w:eastAsia="en-GB"/>
              </w:rPr>
            </w:pPr>
            <w:r w:rsidRPr="00B75D2A">
              <w:rPr>
                <w:rFonts w:ascii="Arial" w:eastAsia="Times New Roman" w:hAnsi="Arial" w:cs="Arial"/>
                <w:b/>
                <w:bCs/>
                <w:sz w:val="20"/>
                <w:szCs w:val="20"/>
                <w:lang w:eastAsia="en-GB"/>
              </w:rPr>
              <w:t>10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xml:space="preserve"> not apportioned at this stage </w:t>
            </w:r>
          </w:p>
        </w:tc>
        <w:tc>
          <w:tcPr>
            <w:tcW w:w="2268"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18"/>
                <w:szCs w:val="18"/>
                <w:lang w:eastAsia="en-GB"/>
              </w:rPr>
            </w:pPr>
            <w:r w:rsidRPr="00B75D2A">
              <w:rPr>
                <w:rFonts w:ascii="Arial" w:eastAsia="Times New Roman" w:hAnsi="Arial" w:cs="Arial"/>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2693" w:type="dxa"/>
            <w:tcBorders>
              <w:top w:val="nil"/>
              <w:left w:val="nil"/>
              <w:bottom w:val="single" w:sz="4" w:space="0" w:color="auto"/>
              <w:right w:val="single" w:sz="4" w:space="0" w:color="auto"/>
            </w:tcBorders>
            <w:shd w:val="clear" w:color="000000" w:fill="FFFFFF"/>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The project does not proceed as planned until other funding sources are secured</w:t>
            </w:r>
          </w:p>
        </w:tc>
        <w:tc>
          <w:tcPr>
            <w:tcW w:w="850"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D47FB9" w:rsidRPr="00B75D2A" w:rsidRDefault="00D47FB9" w:rsidP="00860011">
            <w:pPr>
              <w:spacing w:after="0" w:line="240" w:lineRule="auto"/>
              <w:rPr>
                <w:rFonts w:ascii="Arial" w:eastAsia="Times New Roman" w:hAnsi="Arial" w:cs="Arial"/>
                <w:color w:val="000000"/>
                <w:sz w:val="20"/>
                <w:szCs w:val="20"/>
                <w:lang w:eastAsia="en-GB"/>
              </w:rPr>
            </w:pPr>
            <w:r w:rsidRPr="00B75D2A">
              <w:rPr>
                <w:rFonts w:ascii="Arial" w:eastAsia="Times New Roman" w:hAnsi="Arial" w:cs="Arial"/>
                <w:color w:val="000000"/>
                <w:sz w:val="20"/>
                <w:szCs w:val="20"/>
                <w:lang w:eastAsia="en-GB"/>
              </w:rPr>
              <w:t> </w:t>
            </w:r>
          </w:p>
        </w:tc>
      </w:tr>
    </w:tbl>
    <w:p w:rsidR="00B75D2A" w:rsidRPr="00781D9A" w:rsidRDefault="00781D9A">
      <w:pPr>
        <w:rPr>
          <w:b/>
          <w:color w:val="FF0000"/>
        </w:rPr>
      </w:pPr>
      <w:r w:rsidRPr="00781D9A">
        <w:rPr>
          <w:b/>
          <w:color w:val="FF0000"/>
        </w:rPr>
        <w:t>To be reviewed a</w:t>
      </w:r>
      <w:r w:rsidR="00D5184F">
        <w:rPr>
          <w:b/>
          <w:color w:val="FF0000"/>
        </w:rPr>
        <w:t>nd updated as part of the Risk A</w:t>
      </w:r>
      <w:r w:rsidRPr="00781D9A">
        <w:rPr>
          <w:b/>
          <w:color w:val="FF0000"/>
        </w:rPr>
        <w:t>ssessment Workshop</w:t>
      </w:r>
    </w:p>
    <w:p w:rsidR="008D360F" w:rsidRDefault="008D360F">
      <w:bookmarkStart w:id="0" w:name="_GoBack"/>
      <w:bookmarkEnd w:id="0"/>
    </w:p>
    <w:sectPr w:rsidR="008D360F" w:rsidSect="00B75D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2A"/>
    <w:rsid w:val="000C1EB5"/>
    <w:rsid w:val="000E5829"/>
    <w:rsid w:val="003D5620"/>
    <w:rsid w:val="004A0565"/>
    <w:rsid w:val="00781D9A"/>
    <w:rsid w:val="008D360F"/>
    <w:rsid w:val="00B75D2A"/>
    <w:rsid w:val="00C575BE"/>
    <w:rsid w:val="00D47FB9"/>
    <w:rsid w:val="00D5184F"/>
    <w:rsid w:val="00F4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6B3C6-998A-452F-945E-6B1511FF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1617</Words>
  <Characters>9221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Neil</dc:creator>
  <cp:keywords/>
  <dc:description/>
  <cp:lastModifiedBy>Stevens, Neil</cp:lastModifiedBy>
  <cp:revision>2</cp:revision>
  <dcterms:created xsi:type="dcterms:W3CDTF">2017-07-27T13:05:00Z</dcterms:created>
  <dcterms:modified xsi:type="dcterms:W3CDTF">2017-07-27T13:05:00Z</dcterms:modified>
</cp:coreProperties>
</file>